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AC52" w14:textId="6680E746" w:rsidR="00A41EB3" w:rsidRPr="00A841AF" w:rsidRDefault="00A41EB3" w:rsidP="00D8024A">
      <w:pPr>
        <w:spacing w:line="240" w:lineRule="auto"/>
        <w:ind w:right="3"/>
        <w:rPr>
          <w:rFonts w:ascii="Century Gothic" w:hAnsi="Century Gothic"/>
          <w:kern w:val="0"/>
          <w14:ligatures w14:val="none"/>
        </w:rPr>
      </w:pPr>
      <w:bookmarkStart w:id="0" w:name="_Hlk144292452"/>
      <w:bookmarkStart w:id="1" w:name="_Hlk136354644"/>
      <w:bookmarkStart w:id="2" w:name="_Hlk90905597"/>
      <w:bookmarkStart w:id="3" w:name="_Hlk136354627"/>
      <w:r w:rsidRPr="00A841AF">
        <w:rPr>
          <w:rFonts w:ascii="Century Gothic" w:hAnsi="Century Gothic"/>
          <w:kern w:val="0"/>
          <w14:ligatures w14:val="none"/>
        </w:rPr>
        <w:t>19</w:t>
      </w:r>
      <w:r w:rsidR="00FB7D62" w:rsidRPr="00A841AF">
        <w:rPr>
          <w:rFonts w:ascii="Century Gothic" w:hAnsi="Century Gothic"/>
          <w:kern w:val="0"/>
          <w14:ligatures w14:val="none"/>
        </w:rPr>
        <w:t xml:space="preserve"> </w:t>
      </w:r>
      <w:proofErr w:type="gramStart"/>
      <w:r w:rsidR="00FB7D62" w:rsidRPr="00A841AF">
        <w:rPr>
          <w:rFonts w:ascii="Century Gothic" w:hAnsi="Century Gothic"/>
          <w:kern w:val="0"/>
          <w14:ligatures w14:val="none"/>
        </w:rPr>
        <w:t>September</w:t>
      </w:r>
      <w:r w:rsidR="0097650C" w:rsidRPr="00A841AF">
        <w:rPr>
          <w:rFonts w:ascii="Century Gothic" w:hAnsi="Century Gothic"/>
          <w:kern w:val="0"/>
          <w14:ligatures w14:val="none"/>
        </w:rPr>
        <w:t>,</w:t>
      </w:r>
      <w:proofErr w:type="gramEnd"/>
      <w:r w:rsidR="002E2263" w:rsidRPr="00A841AF">
        <w:rPr>
          <w:rFonts w:ascii="Century Gothic" w:hAnsi="Century Gothic"/>
          <w:kern w:val="0"/>
          <w14:ligatures w14:val="none"/>
        </w:rPr>
        <w:t xml:space="preserve"> 2024</w:t>
      </w:r>
    </w:p>
    <w:p w14:paraId="3AD33C76" w14:textId="3BBDC271" w:rsidR="00733367" w:rsidRPr="00A841AF" w:rsidRDefault="00F73884" w:rsidP="00733367">
      <w:pPr>
        <w:spacing w:line="240" w:lineRule="auto"/>
        <w:ind w:right="3"/>
        <w:jc w:val="center"/>
        <w:rPr>
          <w:rFonts w:ascii="Century Gothic" w:hAnsi="Century Gothic"/>
          <w:b/>
          <w:bCs/>
          <w:kern w:val="0"/>
          <w14:ligatures w14:val="none"/>
        </w:rPr>
      </w:pPr>
      <w:r w:rsidRPr="00A841AF">
        <w:rPr>
          <w:rFonts w:ascii="Century Gothic" w:hAnsi="Century Gothic"/>
          <w:b/>
          <w:bCs/>
          <w:kern w:val="0"/>
          <w14:ligatures w14:val="none"/>
        </w:rPr>
        <w:t xml:space="preserve">Minns Government has a </w:t>
      </w:r>
      <w:r w:rsidR="00F72CA8" w:rsidRPr="00A841AF">
        <w:rPr>
          <w:rFonts w:ascii="Century Gothic" w:hAnsi="Century Gothic"/>
          <w:b/>
          <w:bCs/>
          <w:kern w:val="0"/>
          <w14:ligatures w14:val="none"/>
        </w:rPr>
        <w:t>3-month</w:t>
      </w:r>
      <w:r w:rsidRPr="00A841AF">
        <w:rPr>
          <w:rFonts w:ascii="Century Gothic" w:hAnsi="Century Gothic"/>
          <w:b/>
          <w:bCs/>
          <w:kern w:val="0"/>
          <w14:ligatures w14:val="none"/>
        </w:rPr>
        <w:t xml:space="preserve"> window for action on </w:t>
      </w:r>
      <w:r w:rsidR="008E46AB">
        <w:rPr>
          <w:rFonts w:ascii="Century Gothic" w:hAnsi="Century Gothic"/>
          <w:b/>
          <w:bCs/>
          <w:kern w:val="0"/>
          <w14:ligatures w14:val="none"/>
        </w:rPr>
        <w:t>h</w:t>
      </w:r>
      <w:r w:rsidRPr="00A841AF">
        <w:rPr>
          <w:rFonts w:ascii="Century Gothic" w:hAnsi="Century Gothic"/>
          <w:b/>
          <w:bCs/>
          <w:kern w:val="0"/>
          <w14:ligatures w14:val="none"/>
        </w:rPr>
        <w:t>ousing</w:t>
      </w:r>
    </w:p>
    <w:p w14:paraId="1748B106" w14:textId="2D2FCC44" w:rsidR="00F72CA8" w:rsidRPr="00A841AF" w:rsidRDefault="00733367"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Urban Taskforce Australia CEO, Tom Forrest, today </w:t>
      </w:r>
      <w:r w:rsidR="00A841AF">
        <w:rPr>
          <w:rFonts w:ascii="Century Gothic" w:hAnsi="Century Gothic"/>
          <w:kern w:val="0"/>
          <w14:ligatures w14:val="none"/>
        </w:rPr>
        <w:t>released a 10</w:t>
      </w:r>
      <w:r w:rsidR="007547CC">
        <w:rPr>
          <w:rFonts w:ascii="Century Gothic" w:hAnsi="Century Gothic"/>
          <w:kern w:val="0"/>
          <w14:ligatures w14:val="none"/>
        </w:rPr>
        <w:t>-</w:t>
      </w:r>
      <w:r w:rsidR="00A841AF">
        <w:rPr>
          <w:rFonts w:ascii="Century Gothic" w:hAnsi="Century Gothic"/>
          <w:kern w:val="0"/>
          <w14:ligatures w14:val="none"/>
        </w:rPr>
        <w:t xml:space="preserve">point plan for planning reform and housing supply.  He </w:t>
      </w:r>
      <w:r w:rsidR="00F73884" w:rsidRPr="00A841AF">
        <w:rPr>
          <w:rFonts w:ascii="Century Gothic" w:hAnsi="Century Gothic"/>
          <w:kern w:val="0"/>
          <w14:ligatures w14:val="none"/>
        </w:rPr>
        <w:t>called for immediate action on housing policy, saying the time for a shift in planning and housing policy is now.</w:t>
      </w:r>
      <w:r w:rsidR="00F72CA8" w:rsidRPr="00A841AF">
        <w:rPr>
          <w:rFonts w:ascii="Century Gothic" w:hAnsi="Century Gothic"/>
          <w:kern w:val="0"/>
          <w14:ligatures w14:val="none"/>
        </w:rPr>
        <w:t xml:space="preserve"> </w:t>
      </w:r>
    </w:p>
    <w:p w14:paraId="54C33E01" w14:textId="7F62A1FA" w:rsidR="00733367" w:rsidRPr="00A841AF" w:rsidRDefault="00F72CA8"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There is 3 months between now and the end of 2024, then all focus will shift to the Federal </w:t>
      </w:r>
      <w:r w:rsidR="00A841AF" w:rsidRPr="00A841AF">
        <w:rPr>
          <w:rFonts w:ascii="Century Gothic" w:hAnsi="Century Gothic"/>
          <w:kern w:val="0"/>
          <w14:ligatures w14:val="none"/>
        </w:rPr>
        <w:t>election,</w:t>
      </w:r>
      <w:r w:rsidRPr="00A841AF">
        <w:rPr>
          <w:rFonts w:ascii="Century Gothic" w:hAnsi="Century Gothic"/>
          <w:kern w:val="0"/>
          <w14:ligatures w14:val="none"/>
        </w:rPr>
        <w:t xml:space="preserve"> and it will be too late to make changes to planning that will help with the Housing Accord Targets.</w:t>
      </w:r>
    </w:p>
    <w:p w14:paraId="2BD18444" w14:textId="3A25BB76" w:rsidR="00F73884" w:rsidRPr="00A841AF" w:rsidRDefault="00733367"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w:t>
      </w:r>
      <w:r w:rsidR="00F73884" w:rsidRPr="00A841AF">
        <w:rPr>
          <w:rFonts w:ascii="Century Gothic" w:hAnsi="Century Gothic"/>
          <w:kern w:val="0"/>
          <w14:ligatures w14:val="none"/>
        </w:rPr>
        <w:t>planning reforms announced or flagged so far are welcome, but they simply don</w:t>
      </w:r>
      <w:r w:rsidR="00F72CA8" w:rsidRPr="00A841AF">
        <w:rPr>
          <w:rFonts w:ascii="Century Gothic" w:hAnsi="Century Gothic"/>
          <w:kern w:val="0"/>
          <w14:ligatures w14:val="none"/>
        </w:rPr>
        <w:t>’</w:t>
      </w:r>
      <w:r w:rsidR="00F73884" w:rsidRPr="00A841AF">
        <w:rPr>
          <w:rFonts w:ascii="Century Gothic" w:hAnsi="Century Gothic"/>
          <w:kern w:val="0"/>
          <w14:ligatures w14:val="none"/>
        </w:rPr>
        <w:t>t go far enough.  With construction costs and home rental costs still rising well above the CPI, the imperative for feasible housing development has never been greater.</w:t>
      </w:r>
    </w:p>
    <w:p w14:paraId="6BFFF98F" w14:textId="071D3C98" w:rsidR="00F73884" w:rsidRPr="00A841AF" w:rsidRDefault="00F73884"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NSW Government can’t solve the </w:t>
      </w:r>
      <w:r w:rsidR="00694CC2">
        <w:rPr>
          <w:rFonts w:ascii="Century Gothic" w:hAnsi="Century Gothic"/>
          <w:kern w:val="0"/>
          <w14:ligatures w14:val="none"/>
        </w:rPr>
        <w:t xml:space="preserve">many of the cost pressures like the </w:t>
      </w:r>
      <w:r w:rsidRPr="00A841AF">
        <w:rPr>
          <w:rFonts w:ascii="Century Gothic" w:hAnsi="Century Gothic"/>
          <w:kern w:val="0"/>
          <w14:ligatures w14:val="none"/>
        </w:rPr>
        <w:t xml:space="preserve">problem of skilled and unskilled construction sector labour shortages quickly, but planning is a policy area that is 100% under </w:t>
      </w:r>
      <w:r w:rsidR="00694CC2">
        <w:rPr>
          <w:rFonts w:ascii="Century Gothic" w:hAnsi="Century Gothic"/>
          <w:kern w:val="0"/>
          <w14:ligatures w14:val="none"/>
        </w:rPr>
        <w:t>its</w:t>
      </w:r>
      <w:r w:rsidRPr="00A841AF">
        <w:rPr>
          <w:rFonts w:ascii="Century Gothic" w:hAnsi="Century Gothic"/>
          <w:kern w:val="0"/>
          <w14:ligatures w14:val="none"/>
        </w:rPr>
        <w:t xml:space="preserve"> control.</w:t>
      </w:r>
    </w:p>
    <w:p w14:paraId="2EBDC56B" w14:textId="77777777" w:rsidR="00694CC2" w:rsidRDefault="00F73884"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Productivity and Equality Commissioner has made it abundantly clear that developers will not and can not deliver housing supply unless it is feasible to do so.  </w:t>
      </w:r>
    </w:p>
    <w:p w14:paraId="58A9D639" w14:textId="33D744DD" w:rsidR="00694CC2" w:rsidRDefault="00F73884"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tool that is entirely within the hands of </w:t>
      </w:r>
      <w:r w:rsidR="00694CC2">
        <w:rPr>
          <w:rFonts w:ascii="Century Gothic" w:hAnsi="Century Gothic"/>
          <w:kern w:val="0"/>
          <w14:ligatures w14:val="none"/>
        </w:rPr>
        <w:t xml:space="preserve">the NSW Government which can improve </w:t>
      </w:r>
      <w:r w:rsidRPr="00A841AF">
        <w:rPr>
          <w:rFonts w:ascii="Century Gothic" w:hAnsi="Century Gothic"/>
          <w:kern w:val="0"/>
          <w14:ligatures w14:val="none"/>
        </w:rPr>
        <w:t>new housing project feasibility</w:t>
      </w:r>
      <w:r w:rsidR="00694CC2">
        <w:rPr>
          <w:rFonts w:ascii="Century Gothic" w:hAnsi="Century Gothic"/>
          <w:kern w:val="0"/>
          <w14:ligatures w14:val="none"/>
        </w:rPr>
        <w:t>,</w:t>
      </w:r>
      <w:r w:rsidRPr="00A841AF">
        <w:rPr>
          <w:rFonts w:ascii="Century Gothic" w:hAnsi="Century Gothic"/>
          <w:kern w:val="0"/>
          <w14:ligatures w14:val="none"/>
        </w:rPr>
        <w:t xml:space="preserve"> is planning.  </w:t>
      </w:r>
    </w:p>
    <w:p w14:paraId="509F5171" w14:textId="06B13E25" w:rsidR="00F73884" w:rsidRPr="00A841AF" w:rsidRDefault="00F73884"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heights, densities, set-backs from the street, </w:t>
      </w:r>
      <w:r w:rsidR="009237C7" w:rsidRPr="00A841AF">
        <w:rPr>
          <w:rFonts w:ascii="Century Gothic" w:hAnsi="Century Gothic"/>
          <w:kern w:val="0"/>
          <w14:ligatures w14:val="none"/>
        </w:rPr>
        <w:t xml:space="preserve">the </w:t>
      </w:r>
      <w:r w:rsidRPr="00A841AF">
        <w:rPr>
          <w:rFonts w:ascii="Century Gothic" w:hAnsi="Century Gothic"/>
          <w:kern w:val="0"/>
          <w14:ligatures w14:val="none"/>
        </w:rPr>
        <w:t>separation between buildings</w:t>
      </w:r>
      <w:r w:rsidR="009237C7" w:rsidRPr="00A841AF">
        <w:rPr>
          <w:rFonts w:ascii="Century Gothic" w:hAnsi="Century Gothic"/>
          <w:kern w:val="0"/>
          <w14:ligatures w14:val="none"/>
        </w:rPr>
        <w:t>, the need for bike lanes or the protection of view corridors – all this can be amended by the Planning Minister trough the making of a SEPP (or the amendment of an existing one).</w:t>
      </w:r>
    </w:p>
    <w:p w14:paraId="612E7C9C" w14:textId="5A5E6D57" w:rsidR="00733367" w:rsidRPr="00A841AF" w:rsidRDefault="009237C7"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The </w:t>
      </w:r>
      <w:r w:rsidR="00733367" w:rsidRPr="00A841AF">
        <w:rPr>
          <w:rFonts w:ascii="Century Gothic" w:hAnsi="Century Gothic"/>
          <w:kern w:val="0"/>
          <w14:ligatures w14:val="none"/>
        </w:rPr>
        <w:t xml:space="preserve">setting </w:t>
      </w:r>
      <w:r w:rsidR="00694CC2">
        <w:rPr>
          <w:rFonts w:ascii="Century Gothic" w:hAnsi="Century Gothic"/>
          <w:kern w:val="0"/>
          <w14:ligatures w14:val="none"/>
        </w:rPr>
        <w:t xml:space="preserve">of </w:t>
      </w:r>
      <w:r w:rsidR="00733367" w:rsidRPr="00A841AF">
        <w:rPr>
          <w:rFonts w:ascii="Century Gothic" w:hAnsi="Century Gothic"/>
          <w:kern w:val="0"/>
          <w14:ligatures w14:val="none"/>
        </w:rPr>
        <w:t>planning controls around the new metros and dilapidated corridors like Parramatta Road</w:t>
      </w:r>
      <w:r w:rsidRPr="00A841AF">
        <w:rPr>
          <w:rFonts w:ascii="Century Gothic" w:hAnsi="Century Gothic"/>
          <w:kern w:val="0"/>
          <w14:ligatures w14:val="none"/>
        </w:rPr>
        <w:t xml:space="preserve"> have been way too conservative in most cases.  When Affordability Housing contributions are added</w:t>
      </w:r>
      <w:r w:rsidR="00694CC2">
        <w:rPr>
          <w:rFonts w:ascii="Century Gothic" w:hAnsi="Century Gothic"/>
          <w:kern w:val="0"/>
          <w14:ligatures w14:val="none"/>
        </w:rPr>
        <w:t xml:space="preserve">, on top of an array of other State Government fees, taxes and charges, </w:t>
      </w:r>
      <w:r w:rsidRPr="00A841AF">
        <w:rPr>
          <w:rFonts w:ascii="Century Gothic" w:hAnsi="Century Gothic"/>
          <w:kern w:val="0"/>
          <w14:ligatures w14:val="none"/>
        </w:rPr>
        <w:t>even with the proposed uplift in heights and density, projects remain unfeasible</w:t>
      </w:r>
      <w:r w:rsidR="00694CC2">
        <w:rPr>
          <w:rFonts w:ascii="Century Gothic" w:hAnsi="Century Gothic"/>
          <w:kern w:val="0"/>
          <w14:ligatures w14:val="none"/>
        </w:rPr>
        <w:t xml:space="preserve"> – particularly in the Tier 1 TOD Accelerated precincts.</w:t>
      </w:r>
    </w:p>
    <w:p w14:paraId="2A68CE75" w14:textId="7A691488" w:rsidR="009237C7" w:rsidRPr="00A841AF" w:rsidRDefault="00733367" w:rsidP="00733367">
      <w:pPr>
        <w:spacing w:line="240" w:lineRule="auto"/>
        <w:ind w:right="3"/>
        <w:rPr>
          <w:rFonts w:ascii="Century Gothic" w:hAnsi="Century Gothic"/>
          <w:kern w:val="0"/>
          <w14:ligatures w14:val="none"/>
        </w:rPr>
      </w:pPr>
      <w:r w:rsidRPr="00A841AF">
        <w:rPr>
          <w:rFonts w:ascii="Century Gothic" w:hAnsi="Century Gothic"/>
          <w:kern w:val="0"/>
          <w14:ligatures w14:val="none"/>
        </w:rPr>
        <w:t xml:space="preserve">With the distraction of the local council elections </w:t>
      </w:r>
      <w:r w:rsidR="009237C7" w:rsidRPr="00A841AF">
        <w:rPr>
          <w:rFonts w:ascii="Century Gothic" w:hAnsi="Century Gothic"/>
          <w:kern w:val="0"/>
          <w14:ligatures w14:val="none"/>
        </w:rPr>
        <w:t xml:space="preserve">now </w:t>
      </w:r>
      <w:r w:rsidRPr="00A841AF">
        <w:rPr>
          <w:rFonts w:ascii="Century Gothic" w:hAnsi="Century Gothic"/>
          <w:kern w:val="0"/>
          <w14:ligatures w14:val="none"/>
        </w:rPr>
        <w:t xml:space="preserve">out of the way, </w:t>
      </w:r>
      <w:r w:rsidR="00694CC2">
        <w:rPr>
          <w:rFonts w:ascii="Century Gothic" w:hAnsi="Century Gothic"/>
          <w:kern w:val="0"/>
          <w14:ligatures w14:val="none"/>
        </w:rPr>
        <w:t>there is a 3-month</w:t>
      </w:r>
      <w:r w:rsidRPr="00A841AF">
        <w:rPr>
          <w:rFonts w:ascii="Century Gothic" w:hAnsi="Century Gothic"/>
          <w:kern w:val="0"/>
          <w14:ligatures w14:val="none"/>
        </w:rPr>
        <w:t xml:space="preserve"> “window of opportunity”</w:t>
      </w:r>
      <w:r w:rsidR="00694CC2">
        <w:rPr>
          <w:rFonts w:ascii="Century Gothic" w:hAnsi="Century Gothic"/>
          <w:kern w:val="0"/>
          <w14:ligatures w14:val="none"/>
        </w:rPr>
        <w:t xml:space="preserve"> in 2024</w:t>
      </w:r>
      <w:r w:rsidRPr="00A841AF">
        <w:rPr>
          <w:rFonts w:ascii="Century Gothic" w:hAnsi="Century Gothic"/>
          <w:kern w:val="0"/>
          <w14:ligatures w14:val="none"/>
        </w:rPr>
        <w:t xml:space="preserve"> for the Minns Government to set the planning system right</w:t>
      </w:r>
      <w:r w:rsidR="009237C7" w:rsidRPr="00A841AF">
        <w:rPr>
          <w:rFonts w:ascii="Century Gothic" w:hAnsi="Century Gothic"/>
          <w:kern w:val="0"/>
          <w14:ligatures w14:val="none"/>
        </w:rPr>
        <w:t xml:space="preserve"> by focussing on feasibility</w:t>
      </w:r>
      <w:r w:rsidR="00694CC2">
        <w:rPr>
          <w:rFonts w:ascii="Century Gothic" w:hAnsi="Century Gothic"/>
          <w:kern w:val="0"/>
          <w14:ligatures w14:val="none"/>
        </w:rPr>
        <w:t xml:space="preserve"> and r</w:t>
      </w:r>
      <w:r w:rsidR="009237C7" w:rsidRPr="00A841AF">
        <w:rPr>
          <w:rFonts w:ascii="Century Gothic" w:hAnsi="Century Gothic"/>
          <w:kern w:val="0"/>
          <w14:ligatures w14:val="none"/>
        </w:rPr>
        <w:t>eturning profit to our sector</w:t>
      </w:r>
      <w:r w:rsidR="00694CC2">
        <w:rPr>
          <w:rFonts w:ascii="Century Gothic" w:hAnsi="Century Gothic"/>
          <w:kern w:val="0"/>
          <w14:ligatures w14:val="none"/>
        </w:rPr>
        <w:t>.</w:t>
      </w:r>
    </w:p>
    <w:p w14:paraId="4F6F5B1E" w14:textId="119124F9" w:rsidR="00733367" w:rsidRDefault="00694CC2" w:rsidP="00733367">
      <w:pPr>
        <w:spacing w:line="240" w:lineRule="auto"/>
        <w:ind w:right="3"/>
        <w:rPr>
          <w:rFonts w:ascii="Century Gothic" w:hAnsi="Century Gothic"/>
          <w:kern w:val="0"/>
          <w:sz w:val="24"/>
          <w:szCs w:val="24"/>
          <w14:ligatures w14:val="none"/>
        </w:rPr>
      </w:pPr>
      <w:r>
        <w:rPr>
          <w:rFonts w:ascii="Century Gothic" w:hAnsi="Century Gothic"/>
          <w:kern w:val="0"/>
          <w14:ligatures w14:val="none"/>
        </w:rPr>
        <w:t xml:space="preserve">A focus on feasibility </w:t>
      </w:r>
      <w:r w:rsidR="009237C7" w:rsidRPr="00A841AF">
        <w:rPr>
          <w:rFonts w:ascii="Century Gothic" w:hAnsi="Century Gothic"/>
          <w:kern w:val="0"/>
          <w14:ligatures w14:val="none"/>
        </w:rPr>
        <w:t xml:space="preserve">will </w:t>
      </w:r>
      <w:r w:rsidR="00733367" w:rsidRPr="00A841AF">
        <w:rPr>
          <w:rFonts w:ascii="Century Gothic" w:hAnsi="Century Gothic"/>
          <w:kern w:val="0"/>
          <w14:ligatures w14:val="none"/>
        </w:rPr>
        <w:t>re</w:t>
      </w:r>
      <w:r w:rsidR="009237C7" w:rsidRPr="00A841AF">
        <w:rPr>
          <w:rFonts w:ascii="Century Gothic" w:hAnsi="Century Gothic"/>
          <w:kern w:val="0"/>
          <w14:ligatures w14:val="none"/>
        </w:rPr>
        <w:t>duce</w:t>
      </w:r>
      <w:r w:rsidR="00733367" w:rsidRPr="00A841AF">
        <w:rPr>
          <w:rFonts w:ascii="Century Gothic" w:hAnsi="Century Gothic"/>
          <w:kern w:val="0"/>
          <w14:ligatures w14:val="none"/>
        </w:rPr>
        <w:t xml:space="preserve"> </w:t>
      </w:r>
      <w:r w:rsidR="009237C7" w:rsidRPr="00A841AF">
        <w:rPr>
          <w:rFonts w:ascii="Century Gothic" w:hAnsi="Century Gothic"/>
          <w:kern w:val="0"/>
          <w14:ligatures w14:val="none"/>
        </w:rPr>
        <w:t xml:space="preserve">the levels of </w:t>
      </w:r>
      <w:r w:rsidR="00733367" w:rsidRPr="00A841AF">
        <w:rPr>
          <w:rFonts w:ascii="Century Gothic" w:hAnsi="Century Gothic"/>
          <w:kern w:val="0"/>
          <w14:ligatures w14:val="none"/>
        </w:rPr>
        <w:t>risk</w:t>
      </w:r>
      <w:r w:rsidR="009237C7" w:rsidRPr="00A841AF">
        <w:rPr>
          <w:rFonts w:ascii="Century Gothic" w:hAnsi="Century Gothic"/>
          <w:kern w:val="0"/>
          <w14:ligatures w14:val="none"/>
        </w:rPr>
        <w:t xml:space="preserve"> which drive up the financing costs</w:t>
      </w:r>
      <w:r w:rsidR="00733367" w:rsidRPr="00A841AF">
        <w:rPr>
          <w:rFonts w:ascii="Century Gothic" w:hAnsi="Century Gothic"/>
          <w:kern w:val="0"/>
          <w14:ligatures w14:val="none"/>
        </w:rPr>
        <w:t xml:space="preserve">, boost investor and developer confidence, and </w:t>
      </w:r>
      <w:r w:rsidR="009237C7" w:rsidRPr="00A841AF">
        <w:rPr>
          <w:rFonts w:ascii="Century Gothic" w:hAnsi="Century Gothic"/>
          <w:kern w:val="0"/>
          <w14:ligatures w14:val="none"/>
        </w:rPr>
        <w:t xml:space="preserve">stem the tide of </w:t>
      </w:r>
      <w:r w:rsidR="008E46AB">
        <w:rPr>
          <w:rFonts w:ascii="Century Gothic" w:hAnsi="Century Gothic"/>
          <w:kern w:val="0"/>
          <w14:ligatures w14:val="none"/>
        </w:rPr>
        <w:t xml:space="preserve">contractor </w:t>
      </w:r>
      <w:r w:rsidR="009237C7" w:rsidRPr="00A841AF">
        <w:rPr>
          <w:rFonts w:ascii="Century Gothic" w:hAnsi="Century Gothic"/>
          <w:kern w:val="0"/>
          <w14:ligatures w14:val="none"/>
        </w:rPr>
        <w:t xml:space="preserve">builders </w:t>
      </w:r>
      <w:r w:rsidR="008E46AB">
        <w:rPr>
          <w:rFonts w:ascii="Century Gothic" w:hAnsi="Century Gothic"/>
          <w:kern w:val="0"/>
          <w14:ligatures w14:val="none"/>
        </w:rPr>
        <w:t xml:space="preserve">and sub-contractors </w:t>
      </w:r>
      <w:r w:rsidR="009237C7" w:rsidRPr="00A841AF">
        <w:rPr>
          <w:rFonts w:ascii="Century Gothic" w:hAnsi="Century Gothic"/>
          <w:kern w:val="0"/>
          <w14:ligatures w14:val="none"/>
        </w:rPr>
        <w:t>closing</w:t>
      </w:r>
      <w:r w:rsidR="008E46AB">
        <w:rPr>
          <w:rFonts w:ascii="Century Gothic" w:hAnsi="Century Gothic"/>
          <w:kern w:val="0"/>
          <w14:ligatures w14:val="none"/>
        </w:rPr>
        <w:t>-</w:t>
      </w:r>
      <w:r w:rsidR="009237C7" w:rsidRPr="00A841AF">
        <w:rPr>
          <w:rFonts w:ascii="Century Gothic" w:hAnsi="Century Gothic"/>
          <w:kern w:val="0"/>
          <w14:ligatures w14:val="none"/>
        </w:rPr>
        <w:t>up shop or being forced into liquidation. Then we will start to see progress on tackling</w:t>
      </w:r>
      <w:r w:rsidR="00733367" w:rsidRPr="00A841AF">
        <w:rPr>
          <w:rFonts w:ascii="Century Gothic" w:hAnsi="Century Gothic"/>
          <w:kern w:val="0"/>
          <w14:ligatures w14:val="none"/>
        </w:rPr>
        <w:t xml:space="preserve"> the housing supply crisis</w:t>
      </w:r>
      <w:r w:rsidR="00733367">
        <w:rPr>
          <w:rFonts w:ascii="Century Gothic" w:hAnsi="Century Gothic"/>
          <w:kern w:val="0"/>
          <w:sz w:val="24"/>
          <w:szCs w:val="24"/>
          <w14:ligatures w14:val="none"/>
        </w:rPr>
        <w:t>.</w:t>
      </w:r>
    </w:p>
    <w:p w14:paraId="5499B5D0" w14:textId="77777777" w:rsidR="00A841AF" w:rsidRPr="00A841AF" w:rsidRDefault="00A841AF" w:rsidP="00A841AF">
      <w:pPr>
        <w:spacing w:line="240" w:lineRule="auto"/>
        <w:ind w:right="3"/>
        <w:rPr>
          <w:rFonts w:ascii="Century Gothic" w:hAnsi="Century Gothic"/>
          <w:kern w:val="0"/>
          <w14:ligatures w14:val="none"/>
        </w:rPr>
      </w:pPr>
      <w:r w:rsidRPr="00A841AF">
        <w:rPr>
          <w:rFonts w:ascii="Century Gothic" w:hAnsi="Century Gothic"/>
          <w:kern w:val="0"/>
          <w14:ligatures w14:val="none"/>
        </w:rPr>
        <w:t>The Government’s identification of metro and heavy rail stations has been haphazard and piecemeal. There is no logic to planning the precinct around some metro stations, but not others (like Five Dock, Burwood North, Cherrybrook, Chatswood and all the stations between Central and Bankstown). The heights can be varied in each location to meet specific local concerns, but the principal of centrally increased height should be consistent.</w:t>
      </w:r>
    </w:p>
    <w:p w14:paraId="27E0BEE9" w14:textId="71B10242" w:rsidR="00A841AF" w:rsidRPr="00A841AF" w:rsidRDefault="00A841AF" w:rsidP="00A841AF">
      <w:pPr>
        <w:rPr>
          <w:rFonts w:ascii="Century Gothic" w:hAnsi="Century Gothic"/>
          <w:kern w:val="0"/>
          <w14:ligatures w14:val="none"/>
        </w:rPr>
      </w:pPr>
      <w:r w:rsidRPr="00A841AF">
        <w:rPr>
          <w:rFonts w:ascii="Century Gothic" w:hAnsi="Century Gothic"/>
          <w:kern w:val="0"/>
          <w14:ligatures w14:val="none"/>
        </w:rPr>
        <w:t xml:space="preserve">These new homes won’t just spring up overnight, so we need to </w:t>
      </w:r>
      <w:r w:rsidR="00694CC2">
        <w:rPr>
          <w:rFonts w:ascii="Century Gothic" w:hAnsi="Century Gothic"/>
          <w:kern w:val="0"/>
          <w14:ligatures w14:val="none"/>
        </w:rPr>
        <w:t xml:space="preserve">dramatically </w:t>
      </w:r>
      <w:r w:rsidRPr="00A841AF">
        <w:rPr>
          <w:rFonts w:ascii="Century Gothic" w:hAnsi="Century Gothic"/>
          <w:kern w:val="0"/>
          <w14:ligatures w14:val="none"/>
        </w:rPr>
        <w:t xml:space="preserve">boost the housing supply pipeline </w:t>
      </w:r>
      <w:r w:rsidR="00694CC2">
        <w:rPr>
          <w:rFonts w:ascii="Century Gothic" w:hAnsi="Century Gothic"/>
          <w:kern w:val="0"/>
          <w14:ligatures w14:val="none"/>
        </w:rPr>
        <w:t xml:space="preserve">now </w:t>
      </w:r>
      <w:r w:rsidRPr="00A841AF">
        <w:rPr>
          <w:rFonts w:ascii="Century Gothic" w:hAnsi="Century Gothic"/>
          <w:kern w:val="0"/>
          <w14:ligatures w14:val="none"/>
        </w:rPr>
        <w:t>if we are to reach the National Housing Accord targets.</w:t>
      </w:r>
    </w:p>
    <w:p w14:paraId="239F3789" w14:textId="77777777" w:rsidR="00F72CA8" w:rsidRDefault="00F72CA8" w:rsidP="00733367">
      <w:pPr>
        <w:spacing w:line="240" w:lineRule="auto"/>
        <w:ind w:right="3"/>
        <w:rPr>
          <w:rFonts w:ascii="Century Gothic" w:hAnsi="Century Gothic"/>
          <w:kern w:val="0"/>
          <w:sz w:val="24"/>
          <w:szCs w:val="24"/>
          <w14:ligatures w14:val="none"/>
        </w:rPr>
      </w:pPr>
    </w:p>
    <w:p w14:paraId="4A140F3E" w14:textId="2D049EFF" w:rsidR="00F72CA8" w:rsidRPr="007547CC" w:rsidRDefault="00F72CA8" w:rsidP="00A841AF">
      <w:pPr>
        <w:pBdr>
          <w:top w:val="single" w:sz="4" w:space="1" w:color="auto"/>
          <w:left w:val="single" w:sz="4" w:space="4" w:color="auto"/>
          <w:bottom w:val="single" w:sz="4" w:space="1" w:color="auto"/>
          <w:right w:val="single" w:sz="4" w:space="4" w:color="auto"/>
        </w:pBdr>
        <w:spacing w:line="240" w:lineRule="auto"/>
        <w:ind w:left="360" w:right="3"/>
        <w:jc w:val="center"/>
        <w:rPr>
          <w:rFonts w:ascii="Century Gothic" w:hAnsi="Century Gothic"/>
          <w:b/>
          <w:bCs/>
          <w:kern w:val="0"/>
          <w:sz w:val="28"/>
          <w:szCs w:val="28"/>
          <w:u w:val="single"/>
          <w14:ligatures w14:val="none"/>
        </w:rPr>
      </w:pPr>
      <w:r w:rsidRPr="007547CC">
        <w:rPr>
          <w:rFonts w:ascii="Century Gothic" w:hAnsi="Century Gothic"/>
          <w:b/>
          <w:bCs/>
          <w:kern w:val="0"/>
          <w:sz w:val="28"/>
          <w:szCs w:val="28"/>
          <w:u w:val="single"/>
          <w14:ligatures w14:val="none"/>
        </w:rPr>
        <w:t xml:space="preserve">Urban Taskforce </w:t>
      </w:r>
      <w:r w:rsidR="00A841AF" w:rsidRPr="007547CC">
        <w:rPr>
          <w:rFonts w:ascii="Century Gothic" w:hAnsi="Century Gothic"/>
          <w:b/>
          <w:bCs/>
          <w:kern w:val="0"/>
          <w:sz w:val="28"/>
          <w:szCs w:val="28"/>
          <w:u w:val="single"/>
          <w14:ligatures w14:val="none"/>
        </w:rPr>
        <w:t>10</w:t>
      </w:r>
      <w:r w:rsidR="00694CC2" w:rsidRPr="007547CC">
        <w:rPr>
          <w:rFonts w:ascii="Century Gothic" w:hAnsi="Century Gothic"/>
          <w:b/>
          <w:bCs/>
          <w:kern w:val="0"/>
          <w:sz w:val="28"/>
          <w:szCs w:val="28"/>
          <w:u w:val="single"/>
          <w14:ligatures w14:val="none"/>
        </w:rPr>
        <w:t>-</w:t>
      </w:r>
      <w:r w:rsidR="00A841AF" w:rsidRPr="007547CC">
        <w:rPr>
          <w:rFonts w:ascii="Century Gothic" w:hAnsi="Century Gothic"/>
          <w:b/>
          <w:bCs/>
          <w:kern w:val="0"/>
          <w:sz w:val="28"/>
          <w:szCs w:val="28"/>
          <w:u w:val="single"/>
          <w14:ligatures w14:val="none"/>
        </w:rPr>
        <w:t xml:space="preserve">point </w:t>
      </w:r>
      <w:r w:rsidRPr="007547CC">
        <w:rPr>
          <w:rFonts w:ascii="Century Gothic" w:hAnsi="Century Gothic"/>
          <w:b/>
          <w:bCs/>
          <w:kern w:val="0"/>
          <w:sz w:val="28"/>
          <w:szCs w:val="28"/>
          <w:u w:val="single"/>
          <w14:ligatures w14:val="none"/>
        </w:rPr>
        <w:t>plan for</w:t>
      </w:r>
      <w:r w:rsidR="0079123D">
        <w:rPr>
          <w:rFonts w:ascii="Century Gothic" w:hAnsi="Century Gothic"/>
          <w:b/>
          <w:bCs/>
          <w:kern w:val="0"/>
          <w:sz w:val="28"/>
          <w:szCs w:val="28"/>
          <w:u w:val="single"/>
          <w14:ligatures w14:val="none"/>
        </w:rPr>
        <w:t xml:space="preserve"> infill housing supply</w:t>
      </w:r>
    </w:p>
    <w:p w14:paraId="7BA260A9" w14:textId="026AC2F6" w:rsidR="00733367"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Designat</w:t>
      </w:r>
      <w:r w:rsidR="009237C7" w:rsidRPr="00A841AF">
        <w:rPr>
          <w:rFonts w:ascii="Century Gothic" w:hAnsi="Century Gothic"/>
          <w:b/>
          <w:bCs/>
          <w:kern w:val="0"/>
          <w:sz w:val="24"/>
          <w:szCs w:val="24"/>
          <w14:ligatures w14:val="none"/>
        </w:rPr>
        <w:t>e</w:t>
      </w:r>
      <w:r w:rsidRPr="00A841AF">
        <w:rPr>
          <w:rFonts w:ascii="Century Gothic" w:hAnsi="Century Gothic"/>
          <w:b/>
          <w:bCs/>
          <w:kern w:val="0"/>
          <w:sz w:val="24"/>
          <w:szCs w:val="24"/>
          <w14:ligatures w14:val="none"/>
        </w:rPr>
        <w:t xml:space="preserve"> all existing, new and planned </w:t>
      </w:r>
      <w:r w:rsidR="00D8024A" w:rsidRPr="00A841AF">
        <w:rPr>
          <w:rFonts w:ascii="Century Gothic" w:hAnsi="Century Gothic"/>
          <w:b/>
          <w:bCs/>
          <w:kern w:val="0"/>
          <w:sz w:val="24"/>
          <w:szCs w:val="24"/>
          <w14:ligatures w14:val="none"/>
        </w:rPr>
        <w:t>m</w:t>
      </w:r>
      <w:r w:rsidRPr="00A841AF">
        <w:rPr>
          <w:rFonts w:ascii="Century Gothic" w:hAnsi="Century Gothic"/>
          <w:b/>
          <w:bCs/>
          <w:kern w:val="0"/>
          <w:sz w:val="24"/>
          <w:szCs w:val="24"/>
          <w14:ligatures w14:val="none"/>
        </w:rPr>
        <w:t xml:space="preserve">etro stations as </w:t>
      </w:r>
      <w:r w:rsidR="009237C7" w:rsidRPr="00A841AF">
        <w:rPr>
          <w:rFonts w:ascii="Century Gothic" w:hAnsi="Century Gothic"/>
          <w:b/>
          <w:bCs/>
          <w:kern w:val="0"/>
          <w:sz w:val="24"/>
          <w:szCs w:val="24"/>
          <w14:ligatures w14:val="none"/>
        </w:rPr>
        <w:t xml:space="preserve">“Tier 1” </w:t>
      </w:r>
      <w:r w:rsidRPr="00A841AF">
        <w:rPr>
          <w:rFonts w:ascii="Century Gothic" w:hAnsi="Century Gothic"/>
          <w:b/>
          <w:bCs/>
          <w:kern w:val="0"/>
          <w:sz w:val="24"/>
          <w:szCs w:val="24"/>
          <w14:ligatures w14:val="none"/>
        </w:rPr>
        <w:t>Transport Oriented Development (TOD) Accelerated Precincts</w:t>
      </w:r>
      <w:r w:rsidR="00C8291F" w:rsidRPr="00A841AF">
        <w:rPr>
          <w:rFonts w:ascii="Century Gothic" w:hAnsi="Century Gothic"/>
          <w:b/>
          <w:bCs/>
          <w:kern w:val="0"/>
          <w:sz w:val="24"/>
          <w:szCs w:val="24"/>
          <w14:ligatures w14:val="none"/>
        </w:rPr>
        <w:t>.</w:t>
      </w:r>
    </w:p>
    <w:p w14:paraId="1F631BEC" w14:textId="1772561C" w:rsidR="00733367"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Declar</w:t>
      </w:r>
      <w:r w:rsidR="00C8291F" w:rsidRPr="00A841AF">
        <w:rPr>
          <w:rFonts w:ascii="Century Gothic" w:hAnsi="Century Gothic"/>
          <w:b/>
          <w:bCs/>
          <w:kern w:val="0"/>
          <w:sz w:val="24"/>
          <w:szCs w:val="24"/>
          <w14:ligatures w14:val="none"/>
        </w:rPr>
        <w:t>e</w:t>
      </w:r>
      <w:r w:rsidRPr="00A841AF">
        <w:rPr>
          <w:rFonts w:ascii="Century Gothic" w:hAnsi="Century Gothic"/>
          <w:b/>
          <w:bCs/>
          <w:kern w:val="0"/>
          <w:sz w:val="24"/>
          <w:szCs w:val="24"/>
          <w14:ligatures w14:val="none"/>
        </w:rPr>
        <w:t xml:space="preserve"> the following heavy rail stations as </w:t>
      </w:r>
      <w:r w:rsidR="00C8291F" w:rsidRPr="00A841AF">
        <w:rPr>
          <w:rFonts w:ascii="Century Gothic" w:hAnsi="Century Gothic"/>
          <w:b/>
          <w:bCs/>
          <w:kern w:val="0"/>
          <w:sz w:val="24"/>
          <w:szCs w:val="24"/>
          <w14:ligatures w14:val="none"/>
        </w:rPr>
        <w:t xml:space="preserve">Tier 1 </w:t>
      </w:r>
      <w:r w:rsidRPr="00A841AF">
        <w:rPr>
          <w:rFonts w:ascii="Century Gothic" w:hAnsi="Century Gothic"/>
          <w:b/>
          <w:bCs/>
          <w:kern w:val="0"/>
          <w:sz w:val="24"/>
          <w:szCs w:val="24"/>
          <w14:ligatures w14:val="none"/>
        </w:rPr>
        <w:t xml:space="preserve">TOD Accelerated </w:t>
      </w:r>
      <w:r w:rsidR="00564304">
        <w:rPr>
          <w:rFonts w:ascii="Century Gothic" w:hAnsi="Century Gothic"/>
          <w:b/>
          <w:bCs/>
          <w:kern w:val="0"/>
          <w:sz w:val="24"/>
          <w:szCs w:val="24"/>
          <w14:ligatures w14:val="none"/>
        </w:rPr>
        <w:t>P</w:t>
      </w:r>
      <w:r w:rsidRPr="00A841AF">
        <w:rPr>
          <w:rFonts w:ascii="Century Gothic" w:hAnsi="Century Gothic"/>
          <w:b/>
          <w:bCs/>
          <w:kern w:val="0"/>
          <w:sz w:val="24"/>
          <w:szCs w:val="24"/>
          <w14:ligatures w14:val="none"/>
        </w:rPr>
        <w:t xml:space="preserve">recincts: Ashfield, Bondi Junction, Campbeltown, Central, Chatswood, Edgecliff, Granville, Hurstville, Lidcombe, Liverpool, </w:t>
      </w:r>
      <w:r w:rsidR="00C8291F" w:rsidRPr="00A841AF">
        <w:rPr>
          <w:rFonts w:ascii="Century Gothic" w:hAnsi="Century Gothic"/>
          <w:b/>
          <w:bCs/>
          <w:kern w:val="0"/>
          <w:sz w:val="24"/>
          <w:szCs w:val="24"/>
          <w14:ligatures w14:val="none"/>
        </w:rPr>
        <w:t xml:space="preserve">Miranda, </w:t>
      </w:r>
      <w:r w:rsidRPr="00A841AF">
        <w:rPr>
          <w:rFonts w:ascii="Century Gothic" w:hAnsi="Century Gothic"/>
          <w:b/>
          <w:bCs/>
          <w:kern w:val="0"/>
          <w:sz w:val="24"/>
          <w:szCs w:val="24"/>
          <w14:ligatures w14:val="none"/>
        </w:rPr>
        <w:t>Newtown, North Sydney, Parramatta, Penrith, Redfern, Strathfield</w:t>
      </w:r>
      <w:r w:rsidR="00C8291F" w:rsidRPr="00A841AF">
        <w:rPr>
          <w:rFonts w:ascii="Century Gothic" w:hAnsi="Century Gothic"/>
          <w:b/>
          <w:bCs/>
          <w:kern w:val="0"/>
          <w:sz w:val="24"/>
          <w:szCs w:val="24"/>
          <w14:ligatures w14:val="none"/>
        </w:rPr>
        <w:t>, Sutherland</w:t>
      </w:r>
      <w:r w:rsidRPr="00A841AF">
        <w:rPr>
          <w:rFonts w:ascii="Century Gothic" w:hAnsi="Century Gothic"/>
          <w:b/>
          <w:bCs/>
          <w:kern w:val="0"/>
          <w:sz w:val="24"/>
          <w:szCs w:val="24"/>
          <w14:ligatures w14:val="none"/>
        </w:rPr>
        <w:t xml:space="preserve"> and West Ryde.</w:t>
      </w:r>
    </w:p>
    <w:p w14:paraId="4FD6B9C5" w14:textId="58DEDE3E" w:rsidR="001E777C"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 xml:space="preserve">Declaring the Parramatta Road </w:t>
      </w:r>
      <w:r w:rsidR="00C8291F" w:rsidRPr="00A841AF">
        <w:rPr>
          <w:rFonts w:ascii="Century Gothic" w:hAnsi="Century Gothic"/>
          <w:b/>
          <w:bCs/>
          <w:kern w:val="0"/>
          <w:sz w:val="24"/>
          <w:szCs w:val="24"/>
          <w14:ligatures w14:val="none"/>
        </w:rPr>
        <w:t xml:space="preserve">corridor </w:t>
      </w:r>
      <w:r w:rsidRPr="00A841AF">
        <w:rPr>
          <w:rFonts w:ascii="Century Gothic" w:hAnsi="Century Gothic"/>
          <w:b/>
          <w:bCs/>
          <w:kern w:val="0"/>
          <w:sz w:val="24"/>
          <w:szCs w:val="24"/>
          <w14:ligatures w14:val="none"/>
        </w:rPr>
        <w:t xml:space="preserve">(and areas 600 metres on either side of the corridor) between Broadway and Homebush as a Tier </w:t>
      </w:r>
      <w:r w:rsidR="00564304">
        <w:rPr>
          <w:rFonts w:ascii="Century Gothic" w:hAnsi="Century Gothic"/>
          <w:b/>
          <w:bCs/>
          <w:kern w:val="0"/>
          <w:sz w:val="24"/>
          <w:szCs w:val="24"/>
          <w14:ligatures w14:val="none"/>
        </w:rPr>
        <w:t>1</w:t>
      </w:r>
      <w:r w:rsidRPr="00A841AF">
        <w:rPr>
          <w:rFonts w:ascii="Century Gothic" w:hAnsi="Century Gothic"/>
          <w:b/>
          <w:bCs/>
          <w:kern w:val="0"/>
          <w:sz w:val="24"/>
          <w:szCs w:val="24"/>
          <w14:ligatures w14:val="none"/>
        </w:rPr>
        <w:t xml:space="preserve"> Accelerated </w:t>
      </w:r>
      <w:r w:rsidR="00564304">
        <w:rPr>
          <w:rFonts w:ascii="Century Gothic" w:hAnsi="Century Gothic"/>
          <w:b/>
          <w:bCs/>
          <w:kern w:val="0"/>
          <w:sz w:val="24"/>
          <w:szCs w:val="24"/>
          <w14:ligatures w14:val="none"/>
        </w:rPr>
        <w:t>P</w:t>
      </w:r>
      <w:r w:rsidRPr="00A841AF">
        <w:rPr>
          <w:rFonts w:ascii="Century Gothic" w:hAnsi="Century Gothic"/>
          <w:b/>
          <w:bCs/>
          <w:kern w:val="0"/>
          <w:sz w:val="24"/>
          <w:szCs w:val="24"/>
          <w14:ligatures w14:val="none"/>
        </w:rPr>
        <w:t>recinct</w:t>
      </w:r>
      <w:r w:rsidR="001E777C" w:rsidRPr="00A841AF">
        <w:rPr>
          <w:rFonts w:ascii="Century Gothic" w:hAnsi="Century Gothic"/>
          <w:b/>
          <w:bCs/>
          <w:kern w:val="0"/>
          <w:sz w:val="24"/>
          <w:szCs w:val="24"/>
          <w14:ligatures w14:val="none"/>
        </w:rPr>
        <w:t xml:space="preserve"> and e</w:t>
      </w:r>
      <w:r w:rsidRPr="00A841AF">
        <w:rPr>
          <w:rFonts w:ascii="Century Gothic" w:hAnsi="Century Gothic"/>
          <w:b/>
          <w:bCs/>
          <w:kern w:val="0"/>
          <w:sz w:val="24"/>
          <w:szCs w:val="24"/>
          <w14:ligatures w14:val="none"/>
        </w:rPr>
        <w:t xml:space="preserve">stablish a new Parramatta Road </w:t>
      </w:r>
      <w:r w:rsidR="00C8291F" w:rsidRPr="00A841AF">
        <w:rPr>
          <w:rFonts w:ascii="Century Gothic" w:hAnsi="Century Gothic"/>
          <w:b/>
          <w:bCs/>
          <w:kern w:val="0"/>
          <w:sz w:val="24"/>
          <w:szCs w:val="24"/>
          <w14:ligatures w14:val="none"/>
        </w:rPr>
        <w:t>Development</w:t>
      </w:r>
      <w:r w:rsidRPr="00A841AF">
        <w:rPr>
          <w:rFonts w:ascii="Century Gothic" w:hAnsi="Century Gothic"/>
          <w:b/>
          <w:bCs/>
          <w:kern w:val="0"/>
          <w:sz w:val="24"/>
          <w:szCs w:val="24"/>
          <w14:ligatures w14:val="none"/>
        </w:rPr>
        <w:t xml:space="preserve"> Authority to oversee the delivery of new housing along the corridor.</w:t>
      </w:r>
      <w:r w:rsidR="00C8291F" w:rsidRPr="00A841AF">
        <w:rPr>
          <w:rFonts w:ascii="Century Gothic" w:hAnsi="Century Gothic"/>
          <w:b/>
          <w:bCs/>
          <w:kern w:val="0"/>
          <w:sz w:val="24"/>
          <w:szCs w:val="24"/>
          <w14:ligatures w14:val="none"/>
        </w:rPr>
        <w:t xml:space="preserve"> </w:t>
      </w:r>
    </w:p>
    <w:p w14:paraId="150F2F6D" w14:textId="7B4C1292" w:rsidR="00733367" w:rsidRPr="00A841AF" w:rsidRDefault="001E777C"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For Tier 1 TOD Accelerated Precincts and for any newly designated planning corridor</w:t>
      </w:r>
      <w:r w:rsidR="00564304">
        <w:rPr>
          <w:rFonts w:ascii="Century Gothic" w:hAnsi="Century Gothic"/>
          <w:b/>
          <w:bCs/>
          <w:kern w:val="0"/>
          <w:sz w:val="24"/>
          <w:szCs w:val="24"/>
          <w14:ligatures w14:val="none"/>
        </w:rPr>
        <w:t>s</w:t>
      </w:r>
      <w:r w:rsidRPr="00A841AF">
        <w:rPr>
          <w:rFonts w:ascii="Century Gothic" w:hAnsi="Century Gothic"/>
          <w:b/>
          <w:bCs/>
          <w:kern w:val="0"/>
          <w:sz w:val="24"/>
          <w:szCs w:val="24"/>
          <w14:ligatures w14:val="none"/>
        </w:rPr>
        <w:t xml:space="preserve"> (like Parramatta R</w:t>
      </w:r>
      <w:r w:rsidR="00564304">
        <w:rPr>
          <w:rFonts w:ascii="Century Gothic" w:hAnsi="Century Gothic"/>
          <w:b/>
          <w:bCs/>
          <w:kern w:val="0"/>
          <w:sz w:val="24"/>
          <w:szCs w:val="24"/>
          <w14:ligatures w14:val="none"/>
        </w:rPr>
        <w:t>oa</w:t>
      </w:r>
      <w:r w:rsidRPr="00A841AF">
        <w:rPr>
          <w:rFonts w:ascii="Century Gothic" w:hAnsi="Century Gothic"/>
          <w:b/>
          <w:bCs/>
          <w:kern w:val="0"/>
          <w:sz w:val="24"/>
          <w:szCs w:val="24"/>
          <w14:ligatures w14:val="none"/>
        </w:rPr>
        <w:t>d) th</w:t>
      </w:r>
      <w:r w:rsidR="00564304">
        <w:rPr>
          <w:rFonts w:ascii="Century Gothic" w:hAnsi="Century Gothic"/>
          <w:b/>
          <w:bCs/>
          <w:kern w:val="0"/>
          <w:sz w:val="24"/>
          <w:szCs w:val="24"/>
          <w14:ligatures w14:val="none"/>
        </w:rPr>
        <w:t>e</w:t>
      </w:r>
      <w:r w:rsidRPr="00A841AF">
        <w:rPr>
          <w:rFonts w:ascii="Century Gothic" w:hAnsi="Century Gothic"/>
          <w:b/>
          <w:bCs/>
          <w:kern w:val="0"/>
          <w:sz w:val="24"/>
          <w:szCs w:val="24"/>
          <w14:ligatures w14:val="none"/>
        </w:rPr>
        <w:t xml:space="preserve"> </w:t>
      </w:r>
      <w:r w:rsidR="00564304">
        <w:rPr>
          <w:rFonts w:ascii="Century Gothic" w:hAnsi="Century Gothic"/>
          <w:b/>
          <w:bCs/>
          <w:kern w:val="0"/>
          <w:sz w:val="24"/>
          <w:szCs w:val="24"/>
          <w14:ligatures w14:val="none"/>
        </w:rPr>
        <w:t xml:space="preserve">strategic planning approach of </w:t>
      </w:r>
      <w:r w:rsidRPr="00A841AF">
        <w:rPr>
          <w:rFonts w:ascii="Century Gothic" w:hAnsi="Century Gothic"/>
          <w:b/>
          <w:bCs/>
          <w:kern w:val="0"/>
          <w:sz w:val="24"/>
          <w:szCs w:val="24"/>
          <w14:ligatures w14:val="none"/>
        </w:rPr>
        <w:t xml:space="preserve">DPHI must change. </w:t>
      </w:r>
      <w:r w:rsidR="00C8291F" w:rsidRPr="00A841AF">
        <w:rPr>
          <w:rFonts w:ascii="Century Gothic" w:hAnsi="Century Gothic"/>
          <w:b/>
          <w:bCs/>
          <w:kern w:val="0"/>
          <w:sz w:val="24"/>
          <w:szCs w:val="24"/>
          <w14:ligatures w14:val="none"/>
        </w:rPr>
        <w:t xml:space="preserve">Rather than planning the height and density for every lot, </w:t>
      </w:r>
      <w:r w:rsidR="00564304">
        <w:rPr>
          <w:rFonts w:ascii="Century Gothic" w:hAnsi="Century Gothic"/>
          <w:b/>
          <w:bCs/>
          <w:kern w:val="0"/>
          <w:sz w:val="24"/>
          <w:szCs w:val="24"/>
          <w14:ligatures w14:val="none"/>
        </w:rPr>
        <w:t>Planning</w:t>
      </w:r>
      <w:r w:rsidR="00C8291F" w:rsidRPr="00A841AF">
        <w:rPr>
          <w:rFonts w:ascii="Century Gothic" w:hAnsi="Century Gothic"/>
          <w:b/>
          <w:bCs/>
          <w:kern w:val="0"/>
          <w:sz w:val="24"/>
          <w:szCs w:val="24"/>
          <w14:ligatures w14:val="none"/>
        </w:rPr>
        <w:t xml:space="preserve"> should define the area where growth is desired and call for EOIs from the private sector </w:t>
      </w:r>
      <w:r w:rsidR="00564304">
        <w:rPr>
          <w:rFonts w:ascii="Century Gothic" w:hAnsi="Century Gothic"/>
          <w:b/>
          <w:bCs/>
          <w:kern w:val="0"/>
          <w:sz w:val="24"/>
          <w:szCs w:val="24"/>
          <w14:ligatures w14:val="none"/>
        </w:rPr>
        <w:t>that</w:t>
      </w:r>
      <w:r w:rsidR="00C8291F" w:rsidRPr="00A841AF">
        <w:rPr>
          <w:rFonts w:ascii="Century Gothic" w:hAnsi="Century Gothic"/>
          <w:b/>
          <w:bCs/>
          <w:kern w:val="0"/>
          <w:sz w:val="24"/>
          <w:szCs w:val="24"/>
          <w14:ligatures w14:val="none"/>
        </w:rPr>
        <w:t xml:space="preserve"> propose heights and density that </w:t>
      </w:r>
      <w:r w:rsidR="00564304">
        <w:rPr>
          <w:rFonts w:ascii="Century Gothic" w:hAnsi="Century Gothic"/>
          <w:b/>
          <w:bCs/>
          <w:kern w:val="0"/>
          <w:sz w:val="24"/>
          <w:szCs w:val="24"/>
          <w14:ligatures w14:val="none"/>
        </w:rPr>
        <w:t>are</w:t>
      </w:r>
      <w:r w:rsidR="00C8291F" w:rsidRPr="00A841AF">
        <w:rPr>
          <w:rFonts w:ascii="Century Gothic" w:hAnsi="Century Gothic"/>
          <w:b/>
          <w:bCs/>
          <w:kern w:val="0"/>
          <w:sz w:val="24"/>
          <w:szCs w:val="24"/>
          <w14:ligatures w14:val="none"/>
        </w:rPr>
        <w:t xml:space="preserve"> feasible.  These should then be assessed on a merit basis rather than being marked by a planning assessor as to the </w:t>
      </w:r>
      <w:proofErr w:type="gramStart"/>
      <w:r w:rsidR="00C8291F" w:rsidRPr="00A841AF">
        <w:rPr>
          <w:rFonts w:ascii="Century Gothic" w:hAnsi="Century Gothic"/>
          <w:b/>
          <w:bCs/>
          <w:kern w:val="0"/>
          <w:sz w:val="24"/>
          <w:szCs w:val="24"/>
          <w14:ligatures w14:val="none"/>
        </w:rPr>
        <w:t>proposals</w:t>
      </w:r>
      <w:proofErr w:type="gramEnd"/>
      <w:r w:rsidR="00C8291F" w:rsidRPr="00A841AF">
        <w:rPr>
          <w:rFonts w:ascii="Century Gothic" w:hAnsi="Century Gothic"/>
          <w:b/>
          <w:bCs/>
          <w:kern w:val="0"/>
          <w:sz w:val="24"/>
          <w:szCs w:val="24"/>
          <w14:ligatures w14:val="none"/>
        </w:rPr>
        <w:t xml:space="preserve"> compliance with their plan. In this context, the government should call for proposals which include affordable housing and let the market decide how much is feasible.</w:t>
      </w:r>
    </w:p>
    <w:p w14:paraId="029B2F69" w14:textId="19885077" w:rsidR="00733367" w:rsidRPr="00A841AF" w:rsidRDefault="00564304"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Pr>
          <w:rFonts w:ascii="Century Gothic" w:hAnsi="Century Gothic"/>
          <w:b/>
          <w:bCs/>
          <w:kern w:val="0"/>
          <w:sz w:val="24"/>
          <w:szCs w:val="24"/>
          <w14:ligatures w14:val="none"/>
        </w:rPr>
        <w:t>Expand</w:t>
      </w:r>
      <w:r w:rsidR="00C8291F" w:rsidRPr="00A841AF">
        <w:rPr>
          <w:rFonts w:ascii="Century Gothic" w:hAnsi="Century Gothic"/>
          <w:b/>
          <w:bCs/>
          <w:kern w:val="0"/>
          <w:sz w:val="24"/>
          <w:szCs w:val="24"/>
          <w14:ligatures w14:val="none"/>
        </w:rPr>
        <w:t xml:space="preserve"> the</w:t>
      </w:r>
      <w:r w:rsidR="00733367" w:rsidRPr="00A841AF">
        <w:rPr>
          <w:rFonts w:ascii="Century Gothic" w:hAnsi="Century Gothic"/>
          <w:b/>
          <w:bCs/>
          <w:kern w:val="0"/>
          <w:sz w:val="24"/>
          <w:szCs w:val="24"/>
          <w14:ligatures w14:val="none"/>
        </w:rPr>
        <w:t xml:space="preserve"> Low and Mid-rise Housing </w:t>
      </w:r>
      <w:r>
        <w:rPr>
          <w:rFonts w:ascii="Century Gothic" w:hAnsi="Century Gothic"/>
          <w:b/>
          <w:bCs/>
          <w:kern w:val="0"/>
          <w:sz w:val="24"/>
          <w:szCs w:val="24"/>
          <w14:ligatures w14:val="none"/>
        </w:rPr>
        <w:t>reforms</w:t>
      </w:r>
      <w:r w:rsidR="00733367" w:rsidRPr="00A841AF">
        <w:rPr>
          <w:rFonts w:ascii="Century Gothic" w:hAnsi="Century Gothic"/>
          <w:b/>
          <w:bCs/>
          <w:kern w:val="0"/>
          <w:sz w:val="24"/>
          <w:szCs w:val="24"/>
          <w14:ligatures w14:val="none"/>
        </w:rPr>
        <w:t xml:space="preserve"> to allow </w:t>
      </w:r>
      <w:r>
        <w:rPr>
          <w:rFonts w:ascii="Century Gothic" w:hAnsi="Century Gothic"/>
          <w:b/>
          <w:bCs/>
          <w:kern w:val="0"/>
          <w:sz w:val="24"/>
          <w:szCs w:val="24"/>
          <w14:ligatures w14:val="none"/>
        </w:rPr>
        <w:t>their</w:t>
      </w:r>
      <w:r w:rsidR="00733367" w:rsidRPr="00A841AF">
        <w:rPr>
          <w:rFonts w:ascii="Century Gothic" w:hAnsi="Century Gothic"/>
          <w:b/>
          <w:bCs/>
          <w:kern w:val="0"/>
          <w:sz w:val="24"/>
          <w:szCs w:val="24"/>
          <w14:ligatures w14:val="none"/>
        </w:rPr>
        <w:t xml:space="preserve"> use within </w:t>
      </w:r>
      <w:r>
        <w:rPr>
          <w:rFonts w:ascii="Century Gothic" w:hAnsi="Century Gothic"/>
          <w:b/>
          <w:bCs/>
          <w:kern w:val="0"/>
          <w:sz w:val="24"/>
          <w:szCs w:val="24"/>
          <w14:ligatures w14:val="none"/>
        </w:rPr>
        <w:t xml:space="preserve">an </w:t>
      </w:r>
      <w:proofErr w:type="gramStart"/>
      <w:r w:rsidR="00733367" w:rsidRPr="00A841AF">
        <w:rPr>
          <w:rFonts w:ascii="Century Gothic" w:hAnsi="Century Gothic"/>
          <w:b/>
          <w:bCs/>
          <w:kern w:val="0"/>
          <w:sz w:val="24"/>
          <w:szCs w:val="24"/>
          <w14:ligatures w14:val="none"/>
        </w:rPr>
        <w:t>800</w:t>
      </w:r>
      <w:r w:rsidR="00D8024A" w:rsidRPr="00A841AF">
        <w:rPr>
          <w:rFonts w:ascii="Century Gothic" w:hAnsi="Century Gothic"/>
          <w:b/>
          <w:bCs/>
          <w:kern w:val="0"/>
          <w:sz w:val="24"/>
          <w:szCs w:val="24"/>
          <w14:ligatures w14:val="none"/>
        </w:rPr>
        <w:t xml:space="preserve"> </w:t>
      </w:r>
      <w:r w:rsidR="00733367" w:rsidRPr="00A841AF">
        <w:rPr>
          <w:rFonts w:ascii="Century Gothic" w:hAnsi="Century Gothic"/>
          <w:b/>
          <w:bCs/>
          <w:kern w:val="0"/>
          <w:sz w:val="24"/>
          <w:szCs w:val="24"/>
          <w14:ligatures w14:val="none"/>
        </w:rPr>
        <w:t>m</w:t>
      </w:r>
      <w:r w:rsidR="00D8024A" w:rsidRPr="00A841AF">
        <w:rPr>
          <w:rFonts w:ascii="Century Gothic" w:hAnsi="Century Gothic"/>
          <w:b/>
          <w:bCs/>
          <w:kern w:val="0"/>
          <w:sz w:val="24"/>
          <w:szCs w:val="24"/>
          <w14:ligatures w14:val="none"/>
        </w:rPr>
        <w:t>etre</w:t>
      </w:r>
      <w:proofErr w:type="gramEnd"/>
      <w:r w:rsidR="00733367" w:rsidRPr="00A841AF">
        <w:rPr>
          <w:rFonts w:ascii="Century Gothic" w:hAnsi="Century Gothic"/>
          <w:b/>
          <w:bCs/>
          <w:kern w:val="0"/>
          <w:sz w:val="24"/>
          <w:szCs w:val="24"/>
          <w14:ligatures w14:val="none"/>
        </w:rPr>
        <w:t xml:space="preserve"> radi</w:t>
      </w:r>
      <w:r>
        <w:rPr>
          <w:rFonts w:ascii="Century Gothic" w:hAnsi="Century Gothic"/>
          <w:b/>
          <w:bCs/>
          <w:kern w:val="0"/>
          <w:sz w:val="24"/>
          <w:szCs w:val="24"/>
          <w14:ligatures w14:val="none"/>
        </w:rPr>
        <w:t>us</w:t>
      </w:r>
      <w:r w:rsidR="00733367" w:rsidRPr="00A841AF">
        <w:rPr>
          <w:rFonts w:ascii="Century Gothic" w:hAnsi="Century Gothic"/>
          <w:b/>
          <w:bCs/>
          <w:kern w:val="0"/>
          <w:sz w:val="24"/>
          <w:szCs w:val="24"/>
          <w14:ligatures w14:val="none"/>
        </w:rPr>
        <w:t xml:space="preserve"> around town centres. Th</w:t>
      </w:r>
      <w:r>
        <w:rPr>
          <w:rFonts w:ascii="Century Gothic" w:hAnsi="Century Gothic"/>
          <w:b/>
          <w:bCs/>
          <w:kern w:val="0"/>
          <w:sz w:val="24"/>
          <w:szCs w:val="24"/>
          <w14:ligatures w14:val="none"/>
        </w:rPr>
        <w:t>e reforms</w:t>
      </w:r>
      <w:r w:rsidR="00733367" w:rsidRPr="00A841AF">
        <w:rPr>
          <w:rFonts w:ascii="Century Gothic" w:hAnsi="Century Gothic"/>
          <w:b/>
          <w:bCs/>
          <w:kern w:val="0"/>
          <w:sz w:val="24"/>
          <w:szCs w:val="24"/>
          <w14:ligatures w14:val="none"/>
        </w:rPr>
        <w:t xml:space="preserve"> should </w:t>
      </w:r>
      <w:r>
        <w:rPr>
          <w:rFonts w:ascii="Century Gothic" w:hAnsi="Century Gothic"/>
          <w:b/>
          <w:bCs/>
          <w:kern w:val="0"/>
          <w:sz w:val="24"/>
          <w:szCs w:val="24"/>
          <w14:ligatures w14:val="none"/>
        </w:rPr>
        <w:t xml:space="preserve">also </w:t>
      </w:r>
      <w:r w:rsidR="00733367" w:rsidRPr="00A841AF">
        <w:rPr>
          <w:rFonts w:ascii="Century Gothic" w:hAnsi="Century Gothic"/>
          <w:b/>
          <w:bCs/>
          <w:kern w:val="0"/>
          <w:sz w:val="24"/>
          <w:szCs w:val="24"/>
          <w14:ligatures w14:val="none"/>
        </w:rPr>
        <w:t xml:space="preserve">allow a floor space ratio of 3:1 </w:t>
      </w:r>
      <w:r w:rsidR="00C8291F" w:rsidRPr="00A841AF">
        <w:rPr>
          <w:rFonts w:ascii="Century Gothic" w:hAnsi="Century Gothic"/>
          <w:b/>
          <w:bCs/>
          <w:kern w:val="0"/>
          <w:sz w:val="24"/>
          <w:szCs w:val="24"/>
          <w14:ligatures w14:val="none"/>
        </w:rPr>
        <w:t>(not 2.2:1)</w:t>
      </w:r>
      <w:r w:rsidR="00CA3462" w:rsidRPr="00A841AF">
        <w:rPr>
          <w:rFonts w:ascii="Century Gothic" w:hAnsi="Century Gothic"/>
          <w:b/>
          <w:bCs/>
          <w:kern w:val="0"/>
          <w:sz w:val="24"/>
          <w:szCs w:val="24"/>
          <w14:ligatures w14:val="none"/>
        </w:rPr>
        <w:t xml:space="preserve">.  Proposals within these </w:t>
      </w:r>
      <w:r w:rsidRPr="00A841AF">
        <w:rPr>
          <w:rFonts w:ascii="Century Gothic" w:hAnsi="Century Gothic"/>
          <w:b/>
          <w:bCs/>
          <w:kern w:val="0"/>
          <w:sz w:val="24"/>
          <w:szCs w:val="24"/>
          <w14:ligatures w14:val="none"/>
        </w:rPr>
        <w:t xml:space="preserve">Low and Mid-rise Housing </w:t>
      </w:r>
      <w:r>
        <w:rPr>
          <w:rFonts w:ascii="Century Gothic" w:hAnsi="Century Gothic"/>
          <w:b/>
          <w:bCs/>
          <w:kern w:val="0"/>
          <w:sz w:val="24"/>
          <w:szCs w:val="24"/>
          <w14:ligatures w14:val="none"/>
        </w:rPr>
        <w:t xml:space="preserve">reform </w:t>
      </w:r>
      <w:r w:rsidR="00CA3462" w:rsidRPr="00A841AF">
        <w:rPr>
          <w:rFonts w:ascii="Century Gothic" w:hAnsi="Century Gothic"/>
          <w:b/>
          <w:bCs/>
          <w:kern w:val="0"/>
          <w:sz w:val="24"/>
          <w:szCs w:val="24"/>
          <w14:ligatures w14:val="none"/>
        </w:rPr>
        <w:t xml:space="preserve">areas should be </w:t>
      </w:r>
      <w:r w:rsidR="00733367" w:rsidRPr="00A841AF">
        <w:rPr>
          <w:rFonts w:ascii="Century Gothic" w:hAnsi="Century Gothic"/>
          <w:b/>
          <w:bCs/>
          <w:kern w:val="0"/>
          <w:sz w:val="24"/>
          <w:szCs w:val="24"/>
          <w14:ligatures w14:val="none"/>
        </w:rPr>
        <w:t xml:space="preserve">subject to a </w:t>
      </w:r>
      <w:r w:rsidR="00CA3462" w:rsidRPr="00A841AF">
        <w:rPr>
          <w:rFonts w:ascii="Century Gothic" w:hAnsi="Century Gothic"/>
          <w:b/>
          <w:bCs/>
          <w:kern w:val="0"/>
          <w:sz w:val="24"/>
          <w:szCs w:val="24"/>
          <w14:ligatures w14:val="none"/>
        </w:rPr>
        <w:t xml:space="preserve">standard set of </w:t>
      </w:r>
      <w:r w:rsidR="00733367" w:rsidRPr="00A841AF">
        <w:rPr>
          <w:rFonts w:ascii="Century Gothic" w:hAnsi="Century Gothic"/>
          <w:b/>
          <w:bCs/>
          <w:kern w:val="0"/>
          <w:sz w:val="24"/>
          <w:szCs w:val="24"/>
          <w14:ligatures w14:val="none"/>
        </w:rPr>
        <w:t>State Government development control plan</w:t>
      </w:r>
      <w:r w:rsidR="00CA3462" w:rsidRPr="00A841AF">
        <w:rPr>
          <w:rFonts w:ascii="Century Gothic" w:hAnsi="Century Gothic"/>
          <w:b/>
          <w:bCs/>
          <w:kern w:val="0"/>
          <w:sz w:val="24"/>
          <w:szCs w:val="24"/>
          <w14:ligatures w14:val="none"/>
        </w:rPr>
        <w:t xml:space="preserve"> (DCP) conditions</w:t>
      </w:r>
      <w:r w:rsidR="00733367" w:rsidRPr="00A841AF">
        <w:rPr>
          <w:rFonts w:ascii="Century Gothic" w:hAnsi="Century Gothic"/>
          <w:b/>
          <w:bCs/>
          <w:kern w:val="0"/>
          <w:sz w:val="24"/>
          <w:szCs w:val="24"/>
          <w14:ligatures w14:val="none"/>
        </w:rPr>
        <w:t xml:space="preserve"> </w:t>
      </w:r>
      <w:r w:rsidR="00CA3462" w:rsidRPr="00A841AF">
        <w:rPr>
          <w:rFonts w:ascii="Century Gothic" w:hAnsi="Century Gothic"/>
          <w:b/>
          <w:bCs/>
          <w:kern w:val="0"/>
          <w:sz w:val="24"/>
          <w:szCs w:val="24"/>
          <w14:ligatures w14:val="none"/>
        </w:rPr>
        <w:t xml:space="preserve">that apply equally to </w:t>
      </w:r>
      <w:r w:rsidR="00733367" w:rsidRPr="00A841AF">
        <w:rPr>
          <w:rFonts w:ascii="Century Gothic" w:hAnsi="Century Gothic"/>
          <w:b/>
          <w:bCs/>
          <w:kern w:val="0"/>
          <w:sz w:val="24"/>
          <w:szCs w:val="24"/>
          <w14:ligatures w14:val="none"/>
        </w:rPr>
        <w:t>all local government areas for the duration of the National Housing Accord.</w:t>
      </w:r>
    </w:p>
    <w:p w14:paraId="6885C2B7" w14:textId="63ECDEDF" w:rsidR="00CA3462" w:rsidRPr="00A841AF" w:rsidRDefault="00CA3462"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 xml:space="preserve">Finalise the Medium Density </w:t>
      </w:r>
      <w:r w:rsidR="00564304">
        <w:rPr>
          <w:rFonts w:ascii="Century Gothic" w:hAnsi="Century Gothic"/>
          <w:b/>
          <w:bCs/>
          <w:kern w:val="0"/>
          <w:sz w:val="24"/>
          <w:szCs w:val="24"/>
          <w14:ligatures w14:val="none"/>
        </w:rPr>
        <w:t>h</w:t>
      </w:r>
      <w:r w:rsidRPr="00A841AF">
        <w:rPr>
          <w:rFonts w:ascii="Century Gothic" w:hAnsi="Century Gothic"/>
          <w:b/>
          <w:bCs/>
          <w:kern w:val="0"/>
          <w:sz w:val="24"/>
          <w:szCs w:val="24"/>
          <w14:ligatures w14:val="none"/>
        </w:rPr>
        <w:t xml:space="preserve">ousing </w:t>
      </w:r>
      <w:r w:rsidR="00564304">
        <w:rPr>
          <w:rFonts w:ascii="Century Gothic" w:hAnsi="Century Gothic"/>
          <w:b/>
          <w:bCs/>
          <w:kern w:val="0"/>
          <w:sz w:val="24"/>
          <w:szCs w:val="24"/>
          <w14:ligatures w14:val="none"/>
        </w:rPr>
        <w:t>r</w:t>
      </w:r>
      <w:r w:rsidRPr="00A841AF">
        <w:rPr>
          <w:rFonts w:ascii="Century Gothic" w:hAnsi="Century Gothic"/>
          <w:b/>
          <w:bCs/>
          <w:kern w:val="0"/>
          <w:sz w:val="24"/>
          <w:szCs w:val="24"/>
          <w14:ligatures w14:val="none"/>
        </w:rPr>
        <w:t>eforms this month and apply them to every non</w:t>
      </w:r>
      <w:r w:rsidR="008E46AB">
        <w:rPr>
          <w:rFonts w:ascii="Century Gothic" w:hAnsi="Century Gothic"/>
          <w:b/>
          <w:bCs/>
          <w:kern w:val="0"/>
          <w:sz w:val="24"/>
          <w:szCs w:val="24"/>
          <w14:ligatures w14:val="none"/>
        </w:rPr>
        <w:t>-</w:t>
      </w:r>
      <w:r w:rsidRPr="00A841AF">
        <w:rPr>
          <w:rFonts w:ascii="Century Gothic" w:hAnsi="Century Gothic"/>
          <w:b/>
          <w:bCs/>
          <w:kern w:val="0"/>
          <w:sz w:val="24"/>
          <w:szCs w:val="24"/>
          <w14:ligatures w14:val="none"/>
        </w:rPr>
        <w:t>TOD heavy rail station</w:t>
      </w:r>
      <w:r w:rsidR="00564304">
        <w:rPr>
          <w:rFonts w:ascii="Century Gothic" w:hAnsi="Century Gothic"/>
          <w:b/>
          <w:bCs/>
          <w:kern w:val="0"/>
          <w:sz w:val="24"/>
          <w:szCs w:val="24"/>
          <w14:ligatures w14:val="none"/>
        </w:rPr>
        <w:t>,</w:t>
      </w:r>
      <w:r w:rsidRPr="00A841AF">
        <w:rPr>
          <w:rFonts w:ascii="Century Gothic" w:hAnsi="Century Gothic"/>
          <w:b/>
          <w:bCs/>
          <w:kern w:val="0"/>
          <w:sz w:val="24"/>
          <w:szCs w:val="24"/>
          <w14:ligatures w14:val="none"/>
        </w:rPr>
        <w:t xml:space="preserve"> all bus, T-way </w:t>
      </w:r>
      <w:proofErr w:type="gramStart"/>
      <w:r w:rsidRPr="00A841AF">
        <w:rPr>
          <w:rFonts w:ascii="Century Gothic" w:hAnsi="Century Gothic"/>
          <w:b/>
          <w:bCs/>
          <w:kern w:val="0"/>
          <w:sz w:val="24"/>
          <w:szCs w:val="24"/>
          <w14:ligatures w14:val="none"/>
        </w:rPr>
        <w:t>stops</w:t>
      </w:r>
      <w:proofErr w:type="gramEnd"/>
      <w:r w:rsidRPr="00A841AF">
        <w:rPr>
          <w:rFonts w:ascii="Century Gothic" w:hAnsi="Century Gothic"/>
          <w:b/>
          <w:bCs/>
          <w:kern w:val="0"/>
          <w:sz w:val="24"/>
          <w:szCs w:val="24"/>
          <w14:ligatures w14:val="none"/>
        </w:rPr>
        <w:t xml:space="preserve"> and all light rail stops.</w:t>
      </w:r>
    </w:p>
    <w:p w14:paraId="16767536" w14:textId="1779B5C4" w:rsidR="00733367"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Mandat</w:t>
      </w:r>
      <w:r w:rsidR="00CA3462" w:rsidRPr="00A841AF">
        <w:rPr>
          <w:rFonts w:ascii="Century Gothic" w:hAnsi="Century Gothic"/>
          <w:b/>
          <w:bCs/>
          <w:kern w:val="0"/>
          <w:sz w:val="24"/>
          <w:szCs w:val="24"/>
          <w14:ligatures w14:val="none"/>
        </w:rPr>
        <w:t>e</w:t>
      </w:r>
      <w:r w:rsidRPr="00A841AF">
        <w:rPr>
          <w:rFonts w:ascii="Century Gothic" w:hAnsi="Century Gothic"/>
          <w:b/>
          <w:bCs/>
          <w:kern w:val="0"/>
          <w:sz w:val="24"/>
          <w:szCs w:val="24"/>
          <w14:ligatures w14:val="none"/>
        </w:rPr>
        <w:t xml:space="preserve"> Residential Apartment Buildings as permissible in all Low and Mid-rise Housing areas.</w:t>
      </w:r>
    </w:p>
    <w:p w14:paraId="597B5696" w14:textId="3D1B35CE" w:rsidR="00733367"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 xml:space="preserve">Offer a bonus of </w:t>
      </w:r>
      <w:r w:rsidR="00CA3462" w:rsidRPr="00A841AF">
        <w:rPr>
          <w:rFonts w:ascii="Century Gothic" w:hAnsi="Century Gothic"/>
          <w:b/>
          <w:bCs/>
          <w:kern w:val="0"/>
          <w:sz w:val="24"/>
          <w:szCs w:val="24"/>
          <w14:ligatures w14:val="none"/>
        </w:rPr>
        <w:t>20%-</w:t>
      </w:r>
      <w:r w:rsidRPr="00A841AF">
        <w:rPr>
          <w:rFonts w:ascii="Century Gothic" w:hAnsi="Century Gothic"/>
          <w:b/>
          <w:bCs/>
          <w:kern w:val="0"/>
          <w:sz w:val="24"/>
          <w:szCs w:val="24"/>
          <w14:ligatures w14:val="none"/>
        </w:rPr>
        <w:t xml:space="preserve">30% height and floor space ratio in all the above areas to achieve </w:t>
      </w:r>
      <w:r w:rsidR="00CA3462" w:rsidRPr="00A841AF">
        <w:rPr>
          <w:rFonts w:ascii="Century Gothic" w:hAnsi="Century Gothic"/>
          <w:b/>
          <w:bCs/>
          <w:kern w:val="0"/>
          <w:sz w:val="24"/>
          <w:szCs w:val="24"/>
          <w14:ligatures w14:val="none"/>
        </w:rPr>
        <w:t>10%-</w:t>
      </w:r>
      <w:r w:rsidRPr="00A841AF">
        <w:rPr>
          <w:rFonts w:ascii="Century Gothic" w:hAnsi="Century Gothic"/>
          <w:b/>
          <w:bCs/>
          <w:kern w:val="0"/>
          <w:sz w:val="24"/>
          <w:szCs w:val="24"/>
          <w14:ligatures w14:val="none"/>
        </w:rPr>
        <w:t>15% affordable housing for 15 years at a minimum 25% market rent discount.</w:t>
      </w:r>
    </w:p>
    <w:p w14:paraId="6BB58B49" w14:textId="5511BD16" w:rsidR="00733367" w:rsidRPr="00A841AF" w:rsidRDefault="00CA3462"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 xml:space="preserve">Replace the </w:t>
      </w:r>
      <w:r w:rsidR="00564304">
        <w:rPr>
          <w:rFonts w:ascii="Century Gothic" w:hAnsi="Century Gothic"/>
          <w:b/>
          <w:bCs/>
          <w:kern w:val="0"/>
          <w:sz w:val="24"/>
          <w:szCs w:val="24"/>
          <w14:ligatures w14:val="none"/>
        </w:rPr>
        <w:t xml:space="preserve">proposed </w:t>
      </w:r>
      <w:r w:rsidR="00733367" w:rsidRPr="00A841AF">
        <w:rPr>
          <w:rFonts w:ascii="Century Gothic" w:hAnsi="Century Gothic"/>
          <w:b/>
          <w:bCs/>
          <w:kern w:val="0"/>
          <w:sz w:val="24"/>
          <w:szCs w:val="24"/>
          <w14:ligatures w14:val="none"/>
        </w:rPr>
        <w:t xml:space="preserve">affordable housing </w:t>
      </w:r>
      <w:r w:rsidR="00564304">
        <w:rPr>
          <w:rFonts w:ascii="Century Gothic" w:hAnsi="Century Gothic"/>
          <w:b/>
          <w:bCs/>
          <w:kern w:val="0"/>
          <w:sz w:val="24"/>
          <w:szCs w:val="24"/>
          <w14:ligatures w14:val="none"/>
        </w:rPr>
        <w:t>contributions (in-perpetuity)</w:t>
      </w:r>
      <w:r w:rsidR="00733367" w:rsidRPr="00A841AF">
        <w:rPr>
          <w:rFonts w:ascii="Century Gothic" w:hAnsi="Century Gothic"/>
          <w:b/>
          <w:bCs/>
          <w:kern w:val="0"/>
          <w:sz w:val="24"/>
          <w:szCs w:val="24"/>
          <w14:ligatures w14:val="none"/>
        </w:rPr>
        <w:t xml:space="preserve">, including those in TOD </w:t>
      </w:r>
      <w:r w:rsidR="00564304" w:rsidRPr="00A841AF">
        <w:rPr>
          <w:rFonts w:ascii="Century Gothic" w:hAnsi="Century Gothic"/>
          <w:b/>
          <w:bCs/>
          <w:kern w:val="0"/>
          <w:sz w:val="24"/>
          <w:szCs w:val="24"/>
          <w14:ligatures w14:val="none"/>
        </w:rPr>
        <w:t xml:space="preserve">Tier </w:t>
      </w:r>
      <w:r w:rsidR="00564304">
        <w:rPr>
          <w:rFonts w:ascii="Century Gothic" w:hAnsi="Century Gothic"/>
          <w:b/>
          <w:bCs/>
          <w:kern w:val="0"/>
          <w:sz w:val="24"/>
          <w:szCs w:val="24"/>
          <w14:ligatures w14:val="none"/>
        </w:rPr>
        <w:t>1</w:t>
      </w:r>
      <w:r w:rsidR="00564304" w:rsidRPr="00A841AF">
        <w:rPr>
          <w:rFonts w:ascii="Century Gothic" w:hAnsi="Century Gothic"/>
          <w:b/>
          <w:bCs/>
          <w:kern w:val="0"/>
          <w:sz w:val="24"/>
          <w:szCs w:val="24"/>
          <w14:ligatures w14:val="none"/>
        </w:rPr>
        <w:t xml:space="preserve"> </w:t>
      </w:r>
      <w:r w:rsidR="00733367" w:rsidRPr="00A841AF">
        <w:rPr>
          <w:rFonts w:ascii="Century Gothic" w:hAnsi="Century Gothic"/>
          <w:b/>
          <w:bCs/>
          <w:kern w:val="0"/>
          <w:sz w:val="24"/>
          <w:szCs w:val="24"/>
          <w14:ligatures w14:val="none"/>
        </w:rPr>
        <w:t>Accelerated Precinct</w:t>
      </w:r>
      <w:r w:rsidRPr="00A841AF">
        <w:rPr>
          <w:rFonts w:ascii="Century Gothic" w:hAnsi="Century Gothic"/>
          <w:b/>
          <w:bCs/>
          <w:kern w:val="0"/>
          <w:sz w:val="24"/>
          <w:szCs w:val="24"/>
          <w14:ligatures w14:val="none"/>
        </w:rPr>
        <w:t xml:space="preserve"> and make </w:t>
      </w:r>
      <w:r w:rsidR="00564304">
        <w:rPr>
          <w:rFonts w:ascii="Century Gothic" w:hAnsi="Century Gothic"/>
          <w:b/>
          <w:bCs/>
          <w:kern w:val="0"/>
          <w:sz w:val="24"/>
          <w:szCs w:val="24"/>
          <w14:ligatures w14:val="none"/>
        </w:rPr>
        <w:t xml:space="preserve">all TOD precinct affordable housing contributions </w:t>
      </w:r>
      <w:r w:rsidRPr="00A841AF">
        <w:rPr>
          <w:rFonts w:ascii="Century Gothic" w:hAnsi="Century Gothic"/>
          <w:b/>
          <w:bCs/>
          <w:kern w:val="0"/>
          <w:sz w:val="24"/>
          <w:szCs w:val="24"/>
          <w14:ligatures w14:val="none"/>
        </w:rPr>
        <w:t>apply for 15 years,</w:t>
      </w:r>
      <w:r w:rsidR="00733367" w:rsidRPr="00A841AF">
        <w:rPr>
          <w:rFonts w:ascii="Century Gothic" w:hAnsi="Century Gothic"/>
          <w:b/>
          <w:bCs/>
          <w:kern w:val="0"/>
          <w:sz w:val="24"/>
          <w:szCs w:val="24"/>
          <w14:ligatures w14:val="none"/>
        </w:rPr>
        <w:t xml:space="preserve"> in line with the</w:t>
      </w:r>
      <w:r w:rsidRPr="00A841AF">
        <w:rPr>
          <w:rFonts w:ascii="Century Gothic" w:hAnsi="Century Gothic"/>
          <w:b/>
          <w:bCs/>
          <w:kern w:val="0"/>
          <w:sz w:val="24"/>
          <w:szCs w:val="24"/>
          <w14:ligatures w14:val="none"/>
        </w:rPr>
        <w:t xml:space="preserve"> successful</w:t>
      </w:r>
      <w:r w:rsidR="00733367" w:rsidRPr="00A841AF">
        <w:rPr>
          <w:rFonts w:ascii="Century Gothic" w:hAnsi="Century Gothic"/>
          <w:b/>
          <w:bCs/>
          <w:kern w:val="0"/>
          <w:sz w:val="24"/>
          <w:szCs w:val="24"/>
          <w14:ligatures w14:val="none"/>
        </w:rPr>
        <w:t xml:space="preserve"> Infill Affordable Housing Bonus policy.</w:t>
      </w:r>
    </w:p>
    <w:p w14:paraId="4CFD50E4" w14:textId="4BD8DD9E" w:rsidR="00733367" w:rsidRPr="00A841AF" w:rsidRDefault="00733367" w:rsidP="00A841AF">
      <w:pPr>
        <w:pStyle w:val="ListParagraph"/>
        <w:numPr>
          <w:ilvl w:val="0"/>
          <w:numId w:val="7"/>
        </w:numPr>
        <w:pBdr>
          <w:top w:val="single" w:sz="4" w:space="1" w:color="auto"/>
          <w:left w:val="single" w:sz="4" w:space="4" w:color="auto"/>
          <w:bottom w:val="single" w:sz="4" w:space="1" w:color="auto"/>
          <w:right w:val="single" w:sz="4" w:space="4" w:color="auto"/>
        </w:pBdr>
        <w:spacing w:before="240" w:line="240" w:lineRule="auto"/>
        <w:ind w:right="3"/>
        <w:rPr>
          <w:rFonts w:ascii="Century Gothic" w:hAnsi="Century Gothic"/>
          <w:b/>
          <w:bCs/>
          <w:kern w:val="0"/>
          <w:sz w:val="24"/>
          <w:szCs w:val="24"/>
          <w14:ligatures w14:val="none"/>
        </w:rPr>
      </w:pPr>
      <w:r w:rsidRPr="00A841AF">
        <w:rPr>
          <w:rFonts w:ascii="Century Gothic" w:hAnsi="Century Gothic"/>
          <w:b/>
          <w:bCs/>
          <w:kern w:val="0"/>
          <w:sz w:val="24"/>
          <w:szCs w:val="24"/>
          <w14:ligatures w14:val="none"/>
        </w:rPr>
        <w:t xml:space="preserve">Waive Housing and Productivity Contributions for residential projects where Development Applications are lodged before </w:t>
      </w:r>
      <w:r w:rsidR="00564304">
        <w:rPr>
          <w:rFonts w:ascii="Century Gothic" w:hAnsi="Century Gothic"/>
          <w:b/>
          <w:bCs/>
          <w:kern w:val="0"/>
          <w:sz w:val="24"/>
          <w:szCs w:val="24"/>
          <w14:ligatures w14:val="none"/>
        </w:rPr>
        <w:t xml:space="preserve">the end of </w:t>
      </w:r>
      <w:r w:rsidRPr="00A841AF">
        <w:rPr>
          <w:rFonts w:ascii="Century Gothic" w:hAnsi="Century Gothic"/>
          <w:b/>
          <w:bCs/>
          <w:kern w:val="0"/>
          <w:sz w:val="24"/>
          <w:szCs w:val="24"/>
          <w14:ligatures w14:val="none"/>
        </w:rPr>
        <w:t>June 202</w:t>
      </w:r>
      <w:r w:rsidR="00564304">
        <w:rPr>
          <w:rFonts w:ascii="Century Gothic" w:hAnsi="Century Gothic"/>
          <w:b/>
          <w:bCs/>
          <w:kern w:val="0"/>
          <w:sz w:val="24"/>
          <w:szCs w:val="24"/>
          <w14:ligatures w14:val="none"/>
        </w:rPr>
        <w:t>9</w:t>
      </w:r>
      <w:r w:rsidRPr="00A841AF">
        <w:rPr>
          <w:rFonts w:ascii="Century Gothic" w:hAnsi="Century Gothic"/>
          <w:b/>
          <w:bCs/>
          <w:kern w:val="0"/>
          <w:sz w:val="24"/>
          <w:szCs w:val="24"/>
          <w14:ligatures w14:val="none"/>
        </w:rPr>
        <w:t xml:space="preserve"> to encourage investment in new supply.</w:t>
      </w:r>
    </w:p>
    <w:p w14:paraId="03A64731" w14:textId="77777777" w:rsidR="00F72CA8" w:rsidRPr="00F72CA8" w:rsidRDefault="00F72CA8" w:rsidP="00F72CA8">
      <w:pPr>
        <w:pBdr>
          <w:top w:val="single" w:sz="4" w:space="1" w:color="auto"/>
          <w:left w:val="single" w:sz="4" w:space="4" w:color="auto"/>
          <w:bottom w:val="single" w:sz="4" w:space="1" w:color="auto"/>
          <w:right w:val="single" w:sz="4" w:space="4" w:color="auto"/>
        </w:pBdr>
        <w:spacing w:line="240" w:lineRule="auto"/>
        <w:ind w:left="360" w:right="3"/>
        <w:rPr>
          <w:rFonts w:ascii="Century Gothic" w:hAnsi="Century Gothic"/>
          <w:b/>
          <w:bCs/>
          <w:kern w:val="0"/>
          <w14:ligatures w14:val="none"/>
        </w:rPr>
      </w:pPr>
    </w:p>
    <w:p w14:paraId="58463E18" w14:textId="39595820" w:rsidR="00F759FF" w:rsidRPr="004943E7" w:rsidRDefault="00733367" w:rsidP="00733367">
      <w:pPr>
        <w:rPr>
          <w:rFonts w:ascii="Century Gothic" w:hAnsi="Century Gothic"/>
          <w:i/>
          <w:iCs/>
          <w:kern w:val="0"/>
          <w:sz w:val="24"/>
          <w:szCs w:val="24"/>
          <w14:ligatures w14:val="none"/>
        </w:rPr>
        <w:sectPr w:rsidR="00F759FF" w:rsidRPr="004943E7" w:rsidSect="00A41EB3">
          <w:footerReference w:type="default" r:id="rId8"/>
          <w:headerReference w:type="first" r:id="rId9"/>
          <w:footerReference w:type="first" r:id="rId10"/>
          <w:pgSz w:w="11907" w:h="16840" w:code="9"/>
          <w:pgMar w:top="794" w:right="720" w:bottom="720" w:left="737" w:header="2324" w:footer="283" w:gutter="0"/>
          <w:cols w:space="720"/>
          <w:titlePg/>
          <w:docGrid w:linePitch="360"/>
        </w:sectPr>
      </w:pPr>
      <w:r w:rsidRPr="004943E7">
        <w:rPr>
          <w:rFonts w:ascii="Helvetica" w:eastAsia="Times New Roman" w:hAnsi="Helvetica" w:cs="Times New Roman"/>
          <w:i/>
          <w:iCs/>
          <w:kern w:val="0"/>
          <w:sz w:val="18"/>
          <w:szCs w:val="18"/>
          <w14:ligatures w14:val="none"/>
        </w:rPr>
        <w:t>en</w:t>
      </w:r>
      <w:r w:rsidR="008E46AB">
        <w:rPr>
          <w:rFonts w:ascii="Helvetica" w:eastAsia="Times New Roman" w:hAnsi="Helvetica" w:cs="Times New Roman"/>
          <w:i/>
          <w:iCs/>
          <w:kern w:val="0"/>
          <w:sz w:val="18"/>
          <w:szCs w:val="18"/>
          <w14:ligatures w14:val="none"/>
        </w:rPr>
        <w:t>d</w:t>
      </w:r>
    </w:p>
    <w:bookmarkEnd w:id="0"/>
    <w:bookmarkEnd w:id="1"/>
    <w:bookmarkEnd w:id="2"/>
    <w:bookmarkEnd w:id="3"/>
    <w:p w14:paraId="3ECD76BE" w14:textId="59F8D74C" w:rsidR="00F60D50" w:rsidRPr="00A41EB3" w:rsidRDefault="00F60D50" w:rsidP="00F72CA8">
      <w:pPr>
        <w:pStyle w:val="Footer"/>
      </w:pPr>
    </w:p>
    <w:sectPr w:rsidR="00F60D50" w:rsidRPr="00A41EB3" w:rsidSect="00D374A5">
      <w:headerReference w:type="default" r:id="rId11"/>
      <w:footerReference w:type="default" r:id="rId12"/>
      <w:type w:val="continuous"/>
      <w:pgSz w:w="11907" w:h="16840" w:code="9"/>
      <w:pgMar w:top="624" w:right="624" w:bottom="567" w:left="737" w:header="624" w:footer="62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162FD8" w14:textId="77777777" w:rsidR="00CB4019" w:rsidRDefault="00CB4019">
      <w:pPr>
        <w:spacing w:after="0" w:line="240" w:lineRule="auto"/>
      </w:pPr>
      <w:r>
        <w:separator/>
      </w:r>
    </w:p>
  </w:endnote>
  <w:endnote w:type="continuationSeparator" w:id="0">
    <w:p w14:paraId="79E9EE71" w14:textId="77777777" w:rsidR="00CB4019" w:rsidRDefault="00CB4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D47C4" w14:textId="7A039926" w:rsidR="00733367" w:rsidRPr="00A841AF" w:rsidRDefault="00733367" w:rsidP="00A841AF">
    <w:pPr>
      <w:tabs>
        <w:tab w:val="left" w:pos="3570"/>
        <w:tab w:val="left" w:pos="8760"/>
      </w:tabs>
      <w:spacing w:after="0" w:line="240" w:lineRule="auto"/>
      <w:jc w:val="center"/>
      <w:rPr>
        <w:rFonts w:eastAsia="Times New Roman" w:cstheme="minorHAnsi"/>
        <w:i/>
        <w:kern w:val="0"/>
        <w:sz w:val="20"/>
        <w:szCs w:val="20"/>
        <w14:ligatures w14:val="none"/>
      </w:rPr>
    </w:pPr>
    <w:bookmarkStart w:id="4" w:name="_Hlk177390340"/>
    <w:bookmarkStart w:id="5" w:name="_Hlk177390341"/>
    <w:bookmarkStart w:id="6" w:name="_Hlk177390351"/>
    <w:bookmarkStart w:id="7" w:name="_Hlk177390352"/>
    <w:r w:rsidRPr="00A841AF">
      <w:rPr>
        <w:rFonts w:eastAsia="Times New Roman" w:cstheme="minorHAnsi"/>
        <w:i/>
        <w:kern w:val="0"/>
        <w:sz w:val="20"/>
        <w:szCs w:val="20"/>
        <w14:ligatures w14:val="none"/>
      </w:rPr>
      <w:t xml:space="preserve">The comments and analysis above can be attributed to </w:t>
    </w:r>
    <w:r w:rsidRPr="00A841AF">
      <w:rPr>
        <w:rFonts w:eastAsia="Times New Roman" w:cstheme="minorHAnsi"/>
        <w:b/>
        <w:bCs/>
        <w:i/>
        <w:kern w:val="0"/>
        <w:sz w:val="20"/>
        <w:szCs w:val="20"/>
        <w14:ligatures w14:val="none"/>
      </w:rPr>
      <w:t>Tom Forrest</w:t>
    </w:r>
    <w:r w:rsidRPr="00A841AF">
      <w:rPr>
        <w:rFonts w:eastAsia="Times New Roman" w:cstheme="minorHAnsi"/>
        <w:i/>
        <w:kern w:val="0"/>
        <w:sz w:val="20"/>
        <w:szCs w:val="20"/>
        <w14:ligatures w14:val="none"/>
      </w:rPr>
      <w:t>, CEO, Urban Taskforce.</w:t>
    </w:r>
  </w:p>
  <w:p w14:paraId="22972649" w14:textId="0327EA08" w:rsidR="00733367" w:rsidRPr="00BC6B32" w:rsidRDefault="00733367" w:rsidP="00A841AF">
    <w:pPr>
      <w:tabs>
        <w:tab w:val="left" w:pos="8760"/>
      </w:tabs>
      <w:spacing w:afterLines="50" w:after="120" w:line="240" w:lineRule="auto"/>
      <w:jc w:val="center"/>
      <w:rPr>
        <w:rFonts w:eastAsia="Times New Roman" w:cstheme="minorHAnsi"/>
        <w:iCs/>
        <w:kern w:val="0"/>
        <w:sz w:val="15"/>
        <w:szCs w:val="15"/>
        <w14:ligatures w14:val="none"/>
      </w:rPr>
    </w:pPr>
    <w:r w:rsidRPr="00BC6B32">
      <w:rPr>
        <w:rFonts w:eastAsia="Times New Roman" w:cstheme="minorHAnsi"/>
        <w:i/>
        <w:kern w:val="0"/>
        <w:sz w:val="15"/>
        <w:szCs w:val="15"/>
        <w14:ligatures w14:val="none"/>
      </w:rPr>
      <w:t xml:space="preserve">The </w:t>
    </w:r>
    <w:r w:rsidRPr="00BC6B32">
      <w:rPr>
        <w:rFonts w:eastAsia="Times New Roman" w:cstheme="minorHAnsi"/>
        <w:b/>
        <w:i/>
        <w:kern w:val="0"/>
        <w:sz w:val="15"/>
        <w:szCs w:val="15"/>
        <w14:ligatures w14:val="none"/>
      </w:rPr>
      <w:t>Urban Taskforce Australia</w:t>
    </w:r>
    <w:r w:rsidRPr="00BC6B32">
      <w:rPr>
        <w:rFonts w:eastAsia="Times New Roman" w:cstheme="minorHAnsi"/>
        <w:i/>
        <w:kern w:val="0"/>
        <w:sz w:val="15"/>
        <w:szCs w:val="15"/>
        <w14:ligatures w14:val="none"/>
      </w:rPr>
      <w:t xml:space="preserve"> is a property development industry group, representing Australia’s most prominent property developers and equity financiers.</w:t>
    </w:r>
  </w:p>
  <w:p w14:paraId="1BA49092" w14:textId="4316F1B8" w:rsidR="00733367" w:rsidRPr="00B45F8D" w:rsidRDefault="004943E7" w:rsidP="00733367">
    <w:pPr>
      <w:tabs>
        <w:tab w:val="left" w:pos="8760"/>
      </w:tabs>
      <w:spacing w:afterLines="50" w:after="120" w:line="240" w:lineRule="auto"/>
      <w:rPr>
        <w:rFonts w:eastAsia="Times New Roman" w:cstheme="minorHAnsi"/>
        <w:iCs/>
        <w:kern w:val="0"/>
        <w:sz w:val="16"/>
        <w:szCs w:val="16"/>
        <w14:ligatures w14:val="none"/>
      </w:rPr>
    </w:pPr>
    <w:r w:rsidRPr="0023219E">
      <w:rPr>
        <w:rFonts w:eastAsia="Times New Roman" w:cstheme="minorHAnsi"/>
        <w:i/>
        <w:noProof/>
        <w:kern w:val="0"/>
        <w:sz w:val="16"/>
        <w:szCs w:val="16"/>
      </w:rPr>
      <mc:AlternateContent>
        <mc:Choice Requires="wps">
          <w:drawing>
            <wp:anchor distT="0" distB="0" distL="114300" distR="114300" simplePos="0" relativeHeight="251662336" behindDoc="0" locked="0" layoutInCell="1" allowOverlap="1" wp14:anchorId="6243EC7E" wp14:editId="62D49701">
              <wp:simplePos x="0" y="0"/>
              <wp:positionH relativeFrom="margin">
                <wp:posOffset>0</wp:posOffset>
              </wp:positionH>
              <wp:positionV relativeFrom="paragraph">
                <wp:posOffset>19050</wp:posOffset>
              </wp:positionV>
              <wp:extent cx="6589569" cy="324981"/>
              <wp:effectExtent l="19050" t="19050" r="20955" b="18415"/>
              <wp:wrapNone/>
              <wp:docPr id="42888731" name="Rectangle: Rounded Corners 1"/>
              <wp:cNvGraphicFramePr/>
              <a:graphic xmlns:a="http://schemas.openxmlformats.org/drawingml/2006/main">
                <a:graphicData uri="http://schemas.microsoft.com/office/word/2010/wordprocessingShape">
                  <wps:wsp>
                    <wps:cNvSpPr/>
                    <wps:spPr>
                      <a:xfrm>
                        <a:off x="0" y="0"/>
                        <a:ext cx="6589569" cy="324981"/>
                      </a:xfrm>
                      <a:prstGeom prst="roundRect">
                        <a:avLst/>
                      </a:prstGeom>
                      <a:ln w="28575">
                        <a:solidFill>
                          <a:schemeClr val="bg1">
                            <a:lumMod val="75000"/>
                          </a:schemeClr>
                        </a:solidFill>
                      </a:ln>
                    </wps:spPr>
                    <wps:style>
                      <a:lnRef idx="2">
                        <a:schemeClr val="dk1"/>
                      </a:lnRef>
                      <a:fillRef idx="1">
                        <a:schemeClr val="lt1"/>
                      </a:fillRef>
                      <a:effectRef idx="0">
                        <a:schemeClr val="dk1"/>
                      </a:effectRef>
                      <a:fontRef idx="minor">
                        <a:schemeClr val="dk1"/>
                      </a:fontRef>
                    </wps:style>
                    <wps:txbx>
                      <w:txbxContent>
                        <w:tbl>
                          <w:tblPr>
                            <w:tblStyle w:val="TableGrid"/>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1701"/>
                            <w:gridCol w:w="1842"/>
                          </w:tblGrid>
                          <w:tr w:rsidR="004943E7" w14:paraId="549C6A2E" w14:textId="77777777" w:rsidTr="00733367">
                            <w:trPr>
                              <w:trHeight w:val="80"/>
                            </w:trPr>
                            <w:tc>
                              <w:tcPr>
                                <w:tcW w:w="6810" w:type="dxa"/>
                              </w:tcPr>
                              <w:p w14:paraId="28BEE68D" w14:textId="77777777" w:rsidR="004943E7" w:rsidRDefault="004943E7" w:rsidP="00A0603A">
                                <w:pPr>
                                  <w:tabs>
                                    <w:tab w:val="left" w:pos="8760"/>
                                  </w:tabs>
                                  <w:spacing w:afterLines="50" w:after="120"/>
                                  <w:rPr>
                                    <w:rFonts w:eastAsia="Times New Roman" w:cstheme="minorHAnsi"/>
                                    <w:i/>
                                    <w:kern w:val="0"/>
                                    <w:sz w:val="16"/>
                                    <w:szCs w:val="16"/>
                                    <w14:ligatures w14:val="none"/>
                                  </w:rPr>
                                </w:pPr>
                                <w:r>
                                  <w:rPr>
                                    <w:lang w:val="en-US"/>
                                  </w:rPr>
                                  <w:t xml:space="preserve"> Media Enquires: Tom Forrest, Chief Executive Officer: 0429 460 863</w:t>
                                </w:r>
                              </w:p>
                            </w:tc>
                            <w:tc>
                              <w:tcPr>
                                <w:tcW w:w="1701" w:type="dxa"/>
                              </w:tcPr>
                              <w:p w14:paraId="3E9F7E46" w14:textId="77777777" w:rsidR="004943E7" w:rsidRPr="00C45445" w:rsidRDefault="004943E7" w:rsidP="00C45445">
                                <w:pPr>
                                  <w:tabs>
                                    <w:tab w:val="left" w:pos="8760"/>
                                  </w:tabs>
                                  <w:spacing w:afterLines="50" w:after="120"/>
                                  <w:jc w:val="right"/>
                                  <w:rPr>
                                    <w:rFonts w:eastAsia="Times New Roman" w:cstheme="minorHAnsi"/>
                                    <w:iCs/>
                                    <w:kern w:val="0"/>
                                    <w:sz w:val="16"/>
                                    <w:szCs w:val="16"/>
                                    <w14:ligatures w14:val="none"/>
                                  </w:rPr>
                                </w:pPr>
                                <w:r>
                                  <w:rPr>
                                    <w:lang w:val="en-US"/>
                                  </w:rPr>
                                  <w:t>Follow us:</w:t>
                                </w:r>
                              </w:p>
                            </w:tc>
                            <w:tc>
                              <w:tcPr>
                                <w:tcW w:w="1842" w:type="dxa"/>
                              </w:tcPr>
                              <w:p w14:paraId="07BC0F1C" w14:textId="77777777" w:rsidR="004943E7" w:rsidRDefault="004943E7" w:rsidP="00733367">
                                <w:pPr>
                                  <w:tabs>
                                    <w:tab w:val="left" w:pos="8760"/>
                                  </w:tabs>
                                  <w:spacing w:afterLines="50" w:after="120"/>
                                  <w:rPr>
                                    <w:rFonts w:eastAsia="Times New Roman" w:cstheme="minorHAnsi"/>
                                    <w:i/>
                                    <w:kern w:val="0"/>
                                    <w:sz w:val="16"/>
                                    <w:szCs w:val="16"/>
                                    <w14:ligatures w14:val="none"/>
                                  </w:rPr>
                                </w:pPr>
                                <w:r>
                                  <w:rPr>
                                    <w:rFonts w:eastAsia="Times New Roman" w:cstheme="minorHAnsi"/>
                                    <w:i/>
                                    <w:noProof/>
                                    <w:kern w:val="0"/>
                                    <w:sz w:val="16"/>
                                    <w:szCs w:val="16"/>
                                    <w14:ligatures w14:val="none"/>
                                  </w:rPr>
                                  <w:drawing>
                                    <wp:inline distT="0" distB="0" distL="0" distR="0" wp14:anchorId="603F7FA0" wp14:editId="7F0FF649">
                                      <wp:extent cx="180000" cy="180000"/>
                                      <wp:effectExtent l="0" t="0" r="0" b="0"/>
                                      <wp:docPr id="3353792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45054"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theme="minorHAnsi"/>
                                    <w:i/>
                                    <w:kern w:val="0"/>
                                    <w:sz w:val="16"/>
                                    <w:szCs w:val="16"/>
                                    <w14:ligatures w14:val="none"/>
                                  </w:rPr>
                                  <w:t xml:space="preserve">   </w:t>
                                </w:r>
                                <w:r>
                                  <w:rPr>
                                    <w:rFonts w:ascii="Century Gothic" w:eastAsia="Times New Roman" w:hAnsi="Century Gothic" w:cs="Times New Roman"/>
                                    <w:b/>
                                    <w:i/>
                                    <w:noProof/>
                                    <w:kern w:val="0"/>
                                    <w:sz w:val="18"/>
                                    <w:szCs w:val="18"/>
                                    <w:lang w:eastAsia="en-AU"/>
                                    <w14:ligatures w14:val="none"/>
                                  </w:rPr>
                                  <w:drawing>
                                    <wp:inline distT="0" distB="0" distL="0" distR="0" wp14:anchorId="22685492" wp14:editId="178116DF">
                                      <wp:extent cx="180000" cy="180000"/>
                                      <wp:effectExtent l="0" t="0" r="0" b="0"/>
                                      <wp:docPr id="140571671"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6036" name="Picture 2">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theme="minorHAnsi"/>
                                    <w:i/>
                                    <w:kern w:val="0"/>
                                    <w:sz w:val="16"/>
                                    <w:szCs w:val="16"/>
                                    <w14:ligatures w14:val="none"/>
                                  </w:rPr>
                                  <w:t xml:space="preserve">   </w:t>
                                </w:r>
                                <w:r>
                                  <w:rPr>
                                    <w:rFonts w:eastAsia="Times New Roman" w:cstheme="minorHAnsi"/>
                                    <w:i/>
                                    <w:noProof/>
                                    <w:kern w:val="0"/>
                                    <w:sz w:val="16"/>
                                    <w:szCs w:val="16"/>
                                    <w14:ligatures w14:val="none"/>
                                  </w:rPr>
                                  <w:drawing>
                                    <wp:inline distT="0" distB="0" distL="0" distR="0" wp14:anchorId="4E571478" wp14:editId="7DB926EB">
                                      <wp:extent cx="180000" cy="180000"/>
                                      <wp:effectExtent l="0" t="0" r="0" b="0"/>
                                      <wp:docPr id="28500577"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7587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bl>
                        <w:p w14:paraId="0FA24BB8" w14:textId="77777777" w:rsidR="004943E7" w:rsidRPr="007458ED" w:rsidRDefault="004943E7" w:rsidP="004943E7">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3EC7E" id="Rectangle: Rounded Corners 1" o:spid="_x0000_s1026" style="position:absolute;margin-left:0;margin-top:1.5pt;width:518.85pt;height:25.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" fillcolor="white [3201]" strokecolor="#bfbfbf [2412]" strokeweight="2.25pt">
              <v:stroke joinstyle="miter"/>
              <v:textbox>
                <w:txbxContent>
                  <w:tbl>
                    <w:tblPr>
                      <w:tblStyle w:val="TableGrid"/>
                      <w:tblW w:w="1035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1701"/>
                      <w:gridCol w:w="1842"/>
                    </w:tblGrid>
                    <w:tr w:rsidR="004943E7" w14:paraId="549C6A2E" w14:textId="77777777" w:rsidTr="00733367">
                      <w:trPr>
                        <w:trHeight w:val="80"/>
                      </w:trPr>
                      <w:tc>
                        <w:tcPr>
                          <w:tcW w:w="6810" w:type="dxa"/>
                        </w:tcPr>
                        <w:p w14:paraId="28BEE68D" w14:textId="77777777" w:rsidR="004943E7" w:rsidRDefault="004943E7" w:rsidP="00A0603A">
                          <w:pPr>
                            <w:tabs>
                              <w:tab w:val="left" w:pos="8760"/>
                            </w:tabs>
                            <w:spacing w:afterLines="50" w:after="120"/>
                            <w:rPr>
                              <w:rFonts w:eastAsia="Times New Roman" w:cstheme="minorHAnsi"/>
                              <w:i/>
                              <w:kern w:val="0"/>
                              <w:sz w:val="16"/>
                              <w:szCs w:val="16"/>
                              <w14:ligatures w14:val="none"/>
                            </w:rPr>
                          </w:pPr>
                          <w:r>
                            <w:rPr>
                              <w:lang w:val="en-US"/>
                            </w:rPr>
                            <w:t xml:space="preserve"> Media Enquires: Tom Forrest, Chief Executive Officer: 0429 460 863</w:t>
                          </w:r>
                        </w:p>
                      </w:tc>
                      <w:tc>
                        <w:tcPr>
                          <w:tcW w:w="1701" w:type="dxa"/>
                        </w:tcPr>
                        <w:p w14:paraId="3E9F7E46" w14:textId="77777777" w:rsidR="004943E7" w:rsidRPr="00C45445" w:rsidRDefault="004943E7" w:rsidP="00C45445">
                          <w:pPr>
                            <w:tabs>
                              <w:tab w:val="left" w:pos="8760"/>
                            </w:tabs>
                            <w:spacing w:afterLines="50" w:after="120"/>
                            <w:jc w:val="right"/>
                            <w:rPr>
                              <w:rFonts w:eastAsia="Times New Roman" w:cstheme="minorHAnsi"/>
                              <w:iCs/>
                              <w:kern w:val="0"/>
                              <w:sz w:val="16"/>
                              <w:szCs w:val="16"/>
                              <w14:ligatures w14:val="none"/>
                            </w:rPr>
                          </w:pPr>
                          <w:r>
                            <w:rPr>
                              <w:lang w:val="en-US"/>
                            </w:rPr>
                            <w:t>Follow us:</w:t>
                          </w:r>
                        </w:p>
                      </w:tc>
                      <w:tc>
                        <w:tcPr>
                          <w:tcW w:w="1842" w:type="dxa"/>
                        </w:tcPr>
                        <w:p w14:paraId="07BC0F1C" w14:textId="77777777" w:rsidR="004943E7" w:rsidRDefault="004943E7" w:rsidP="00733367">
                          <w:pPr>
                            <w:tabs>
                              <w:tab w:val="left" w:pos="8760"/>
                            </w:tabs>
                            <w:spacing w:afterLines="50" w:after="120"/>
                            <w:rPr>
                              <w:rFonts w:eastAsia="Times New Roman" w:cstheme="minorHAnsi"/>
                              <w:i/>
                              <w:kern w:val="0"/>
                              <w:sz w:val="16"/>
                              <w:szCs w:val="16"/>
                              <w14:ligatures w14:val="none"/>
                            </w:rPr>
                          </w:pPr>
                          <w:r>
                            <w:rPr>
                              <w:rFonts w:eastAsia="Times New Roman" w:cstheme="minorHAnsi"/>
                              <w:i/>
                              <w:noProof/>
                              <w:kern w:val="0"/>
                              <w:sz w:val="16"/>
                              <w:szCs w:val="16"/>
                              <w14:ligatures w14:val="none"/>
                            </w:rPr>
                            <w:drawing>
                              <wp:inline distT="0" distB="0" distL="0" distR="0" wp14:anchorId="603F7FA0" wp14:editId="7F0FF649">
                                <wp:extent cx="180000" cy="180000"/>
                                <wp:effectExtent l="0" t="0" r="0" b="0"/>
                                <wp:docPr id="33537924"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545054" name="Picture 5">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theme="minorHAnsi"/>
                              <w:i/>
                              <w:kern w:val="0"/>
                              <w:sz w:val="16"/>
                              <w:szCs w:val="16"/>
                              <w14:ligatures w14:val="none"/>
                            </w:rPr>
                            <w:t xml:space="preserve">   </w:t>
                          </w:r>
                          <w:r>
                            <w:rPr>
                              <w:rFonts w:ascii="Century Gothic" w:eastAsia="Times New Roman" w:hAnsi="Century Gothic" w:cs="Times New Roman"/>
                              <w:b/>
                              <w:i/>
                              <w:noProof/>
                              <w:kern w:val="0"/>
                              <w:sz w:val="18"/>
                              <w:szCs w:val="18"/>
                              <w:lang w:eastAsia="en-AU"/>
                              <w14:ligatures w14:val="none"/>
                            </w:rPr>
                            <w:drawing>
                              <wp:inline distT="0" distB="0" distL="0" distR="0" wp14:anchorId="22685492" wp14:editId="178116DF">
                                <wp:extent cx="180000" cy="180000"/>
                                <wp:effectExtent l="0" t="0" r="0" b="0"/>
                                <wp:docPr id="140571671"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156036" name="Picture 2">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r>
                            <w:rPr>
                              <w:rFonts w:eastAsia="Times New Roman" w:cstheme="minorHAnsi"/>
                              <w:i/>
                              <w:kern w:val="0"/>
                              <w:sz w:val="16"/>
                              <w:szCs w:val="16"/>
                              <w14:ligatures w14:val="none"/>
                            </w:rPr>
                            <w:t xml:space="preserve">   </w:t>
                          </w:r>
                          <w:r>
                            <w:rPr>
                              <w:rFonts w:eastAsia="Times New Roman" w:cstheme="minorHAnsi"/>
                              <w:i/>
                              <w:noProof/>
                              <w:kern w:val="0"/>
                              <w:sz w:val="16"/>
                              <w:szCs w:val="16"/>
                              <w14:ligatures w14:val="none"/>
                            </w:rPr>
                            <w:drawing>
                              <wp:inline distT="0" distB="0" distL="0" distR="0" wp14:anchorId="4E571478" wp14:editId="7DB926EB">
                                <wp:extent cx="180000" cy="180000"/>
                                <wp:effectExtent l="0" t="0" r="0" b="0"/>
                                <wp:docPr id="28500577"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975870" name="Picture 3">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a:ln>
                                          <a:noFill/>
                                        </a:ln>
                                      </pic:spPr>
                                    </pic:pic>
                                  </a:graphicData>
                                </a:graphic>
                              </wp:inline>
                            </w:drawing>
                          </w:r>
                        </w:p>
                      </w:tc>
                    </w:tr>
                  </w:tbl>
                  <w:p w14:paraId="0FA24BB8" w14:textId="77777777" w:rsidR="004943E7" w:rsidRPr="007458ED" w:rsidRDefault="004943E7" w:rsidP="004943E7">
                    <w:pPr>
                      <w:rPr>
                        <w:lang w:val="en-US"/>
                      </w:rPr>
                    </w:pPr>
                  </w:p>
                </w:txbxContent>
              </v:textbox>
              <w10:wrap anchorx="margin"/>
            </v:roundrect>
          </w:pict>
        </mc:Fallback>
      </mc:AlternateContent>
    </w:r>
  </w:p>
  <w:bookmarkEnd w:id="4"/>
  <w:bookmarkEnd w:id="5"/>
  <w:bookmarkEnd w:id="6"/>
  <w:bookmarkEnd w:id="7"/>
  <w:p w14:paraId="134AE08C" w14:textId="77777777" w:rsidR="00733367" w:rsidRDefault="00733367" w:rsidP="00733367">
    <w:pPr>
      <w:pStyle w:val="Footer"/>
    </w:pPr>
  </w:p>
  <w:p w14:paraId="6509D6A5" w14:textId="500B5D07" w:rsidR="004943E7" w:rsidRDefault="004943E7" w:rsidP="004943E7">
    <w:pPr>
      <w:tabs>
        <w:tab w:val="left" w:pos="4253"/>
        <w:tab w:val="left" w:pos="8222"/>
      </w:tabs>
      <w:ind w:right="-171"/>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2D7FE" w14:textId="77777777" w:rsidR="00A41EB3" w:rsidRDefault="00A41EB3" w:rsidP="00F60D50">
    <w:pPr>
      <w:spacing w:after="0" w:line="360" w:lineRule="auto"/>
      <w:rPr>
        <w:rFonts w:ascii="Century Gothic" w:hAnsi="Century Gothic"/>
        <w:color w:val="2F5496" w:themeColor="accent1" w:themeShade="BF"/>
        <w:kern w:val="0"/>
        <w:sz w:val="16"/>
        <w:szCs w:val="16"/>
        <w14:ligatures w14:val="none"/>
      </w:rPr>
    </w:pPr>
  </w:p>
  <w:p w14:paraId="2526C831" w14:textId="1FFCBADF" w:rsidR="00A41EB3" w:rsidRPr="00A41EB3" w:rsidRDefault="00F60D50" w:rsidP="00A841AF">
    <w:pPr>
      <w:spacing w:after="0" w:line="360" w:lineRule="auto"/>
      <w:rPr>
        <w:b/>
        <w:bCs/>
        <w:sz w:val="24"/>
        <w:szCs w:val="24"/>
      </w:rPr>
    </w:pPr>
    <w:r w:rsidRPr="00F60D50">
      <w:rPr>
        <w:rFonts w:ascii="Century Gothic" w:hAnsi="Century Gothic"/>
        <w:noProof/>
        <w:color w:val="2F5496" w:themeColor="accent1" w:themeShade="BF"/>
        <w:sz w:val="16"/>
        <w:szCs w:val="16"/>
        <w:lang w:eastAsia="en-AU"/>
      </w:rPr>
      <w:drawing>
        <wp:anchor distT="0" distB="0" distL="114300" distR="114300" simplePos="0" relativeHeight="251664384" behindDoc="1" locked="0" layoutInCell="1" allowOverlap="1" wp14:anchorId="16B18C5C" wp14:editId="34626004">
          <wp:simplePos x="0" y="0"/>
          <wp:positionH relativeFrom="margin">
            <wp:align>left</wp:align>
          </wp:positionH>
          <wp:positionV relativeFrom="paragraph">
            <wp:posOffset>948646</wp:posOffset>
          </wp:positionV>
          <wp:extent cx="4102100" cy="685800"/>
          <wp:effectExtent l="0" t="0" r="0" b="0"/>
          <wp:wrapNone/>
          <wp:docPr id="774713555" name="Picture 774713555"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res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021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0D50">
      <w:rPr>
        <w:rFonts w:ascii="Century Gothic" w:hAnsi="Century Gothic"/>
        <w:color w:val="2F5496" w:themeColor="accent1" w:themeShade="BF"/>
        <w:kern w:val="0"/>
        <w:sz w:val="16"/>
        <w:szCs w:val="16"/>
        <w14:ligatures w14:val="none"/>
      </w:rPr>
      <w:t xml:space="preserve">Urban Taskforce </w:t>
    </w:r>
    <w:r w:rsidR="00961F8D">
      <w:rPr>
        <w:rFonts w:ascii="Century Gothic" w:hAnsi="Century Gothic"/>
        <w:color w:val="2F5496" w:themeColor="accent1" w:themeShade="BF"/>
        <w:kern w:val="0"/>
        <w:sz w:val="16"/>
        <w:szCs w:val="16"/>
        <w14:ligatures w14:val="none"/>
      </w:rPr>
      <w:t xml:space="preserve">Australia </w:t>
    </w:r>
    <w:r w:rsidRPr="00F60D50">
      <w:rPr>
        <w:rFonts w:ascii="Century Gothic" w:hAnsi="Century Gothic"/>
        <w:color w:val="8EAADB" w:themeColor="accent1" w:themeTint="99"/>
        <w:kern w:val="0"/>
        <w:sz w:val="14"/>
        <w:szCs w:val="14"/>
        <w14:ligatures w14:val="none"/>
      </w:rPr>
      <w:t xml:space="preserve">  </w:t>
    </w:r>
    <w:r w:rsidRPr="00F60D50">
      <w:rPr>
        <w:rFonts w:ascii="Century Gothic" w:hAnsi="Century Gothic"/>
        <w:color w:val="2F5496" w:themeColor="accent1" w:themeShade="BF"/>
        <w:kern w:val="0"/>
        <w:sz w:val="14"/>
        <w:szCs w:val="14"/>
        <w14:ligatures w14:val="none"/>
      </w:rPr>
      <w:t xml:space="preserve">| </w:t>
    </w:r>
    <w:r w:rsidRPr="00F60D50">
      <w:rPr>
        <w:rFonts w:ascii="Century Gothic" w:hAnsi="Century Gothic"/>
        <w:color w:val="8EAADB" w:themeColor="accent1" w:themeTint="99"/>
        <w:kern w:val="0"/>
        <w:sz w:val="14"/>
        <w:szCs w:val="14"/>
        <w14:ligatures w14:val="none"/>
      </w:rPr>
      <w:t xml:space="preserve"> </w:t>
    </w:r>
    <w:r w:rsidRPr="00F60D50">
      <w:rPr>
        <w:rFonts w:ascii="Century Gothic" w:hAnsi="Century Gothic"/>
        <w:color w:val="2F5496" w:themeColor="accent1" w:themeShade="BF"/>
        <w:kern w:val="0"/>
        <w:sz w:val="14"/>
        <w:szCs w:val="14"/>
        <w14:ligatures w14:val="none"/>
      </w:rPr>
      <w:t xml:space="preserve">T </w:t>
    </w:r>
    <w:r w:rsidRPr="00F60D50">
      <w:rPr>
        <w:rFonts w:ascii="Century Gothic" w:hAnsi="Century Gothic"/>
        <w:color w:val="8EAADB" w:themeColor="accent1" w:themeTint="99"/>
        <w:kern w:val="0"/>
        <w:sz w:val="14"/>
        <w:szCs w:val="14"/>
        <w14:ligatures w14:val="none"/>
      </w:rPr>
      <w:t xml:space="preserve"> </w:t>
    </w:r>
    <w:r w:rsidRPr="00F60D50">
      <w:rPr>
        <w:rFonts w:ascii="Century Gothic" w:hAnsi="Century Gothic"/>
        <w:color w:val="C45911" w:themeColor="accent2" w:themeShade="BF"/>
        <w:kern w:val="0"/>
        <w:sz w:val="16"/>
        <w:szCs w:val="16"/>
        <w14:ligatures w14:val="none"/>
      </w:rPr>
      <w:t>02 9238 3955</w:t>
    </w:r>
    <w:r w:rsidR="00A841AF">
      <w:rPr>
        <w:rFonts w:ascii="Century Gothic" w:hAnsi="Century Gothic"/>
        <w:color w:val="C45911" w:themeColor="accent2" w:themeShade="BF"/>
        <w:kern w:val="0"/>
        <w:sz w:val="16"/>
        <w:szCs w:val="16"/>
        <w14:ligatures w14:val="none"/>
      </w:rPr>
      <w:t xml:space="preserve"> </w:t>
    </w:r>
    <w:r w:rsidRPr="00F60D50">
      <w:rPr>
        <w:rFonts w:ascii="Century Gothic" w:hAnsi="Century Gothic"/>
        <w:color w:val="8EAADB" w:themeColor="accent1" w:themeTint="99"/>
        <w:kern w:val="0"/>
        <w:sz w:val="14"/>
        <w:szCs w:val="14"/>
        <w14:ligatures w14:val="none"/>
      </w:rPr>
      <w:t>GPO Box 5396 Sydney NSW 200</w:t>
    </w:r>
    <w:r>
      <w:rPr>
        <w:rFonts w:ascii="Century Gothic" w:hAnsi="Century Gothic"/>
        <w:color w:val="8EAADB" w:themeColor="accent1" w:themeTint="99"/>
        <w:kern w:val="0"/>
        <w:sz w:val="14"/>
        <w:szCs w:val="14"/>
        <w14:ligatures w14:val="none"/>
      </w:rPr>
      <w:t xml:space="preserve">1  </w:t>
    </w:r>
    <w:r w:rsidRPr="00F60D50">
      <w:rPr>
        <w:rFonts w:ascii="Century Gothic" w:hAnsi="Century Gothic"/>
        <w:color w:val="2F5496" w:themeColor="accent1" w:themeShade="BF"/>
        <w:kern w:val="0"/>
        <w:sz w:val="14"/>
        <w:szCs w:val="14"/>
        <w14:ligatures w14:val="none"/>
      </w:rPr>
      <w:t xml:space="preserve">| </w:t>
    </w:r>
    <w:r w:rsidRPr="00F60D50">
      <w:rPr>
        <w:rFonts w:ascii="Century Gothic" w:hAnsi="Century Gothic"/>
        <w:color w:val="8EAADB" w:themeColor="accent1" w:themeTint="99"/>
        <w:kern w:val="0"/>
        <w:sz w:val="14"/>
        <w:szCs w:val="14"/>
        <w14:ligatures w14:val="none"/>
      </w:rPr>
      <w:t xml:space="preserve"> Level 12, 32 Martin Place Sydney NSW 2000</w:t>
    </w:r>
    <w:r w:rsidR="00A841AF">
      <w:rPr>
        <w:rFonts w:ascii="Century Gothic" w:hAnsi="Century Gothic"/>
        <w:color w:val="8EAADB" w:themeColor="accent1" w:themeTint="99"/>
        <w:kern w:val="0"/>
        <w:sz w:val="14"/>
        <w:szCs w:val="14"/>
        <w14:ligatures w14:val="none"/>
      </w:rPr>
      <w:t xml:space="preserve"> </w:t>
    </w:r>
    <w:hyperlink r:id="rId2" w:history="1">
      <w:r w:rsidRPr="00F60D50">
        <w:rPr>
          <w:rStyle w:val="Hyperlink"/>
          <w:rFonts w:ascii="Century Gothic" w:hAnsi="Century Gothic"/>
          <w:color w:val="2F5496" w:themeColor="accent1" w:themeShade="BF"/>
          <w:sz w:val="14"/>
          <w:szCs w:val="14"/>
          <w:u w:val="none"/>
        </w:rPr>
        <w:t>admin@urbantaskforce.com.au</w:t>
      </w:r>
    </w:hyperlink>
    <w:r>
      <w:rPr>
        <w:rFonts w:ascii="Century Gothic" w:hAnsi="Century Gothic"/>
        <w:color w:val="2F5496" w:themeColor="accent1" w:themeShade="BF"/>
        <w:sz w:val="14"/>
        <w:szCs w:val="14"/>
      </w:rPr>
      <w:t xml:space="preserve">  </w:t>
    </w:r>
    <w:r w:rsidRPr="00F60D50">
      <w:rPr>
        <w:rFonts w:ascii="Century Gothic" w:hAnsi="Century Gothic"/>
        <w:color w:val="2F5496" w:themeColor="accent1" w:themeShade="BF"/>
        <w:sz w:val="14"/>
        <w:szCs w:val="14"/>
      </w:rPr>
      <w:t xml:space="preserve">| </w:t>
    </w:r>
    <w:r w:rsidRPr="00F60D50">
      <w:rPr>
        <w:rFonts w:ascii="Century Gothic" w:hAnsi="Century Gothic"/>
        <w:color w:val="8EAADB" w:themeColor="accent1" w:themeTint="99"/>
        <w:sz w:val="14"/>
        <w:szCs w:val="14"/>
      </w:rPr>
      <w:t xml:space="preserve"> </w:t>
    </w:r>
    <w:hyperlink r:id="rId3" w:history="1">
      <w:r w:rsidRPr="0006233D">
        <w:rPr>
          <w:rStyle w:val="Hyperlink"/>
          <w:rFonts w:ascii="Century Gothic" w:hAnsi="Century Gothic"/>
          <w:color w:val="C45911" w:themeColor="accent2" w:themeShade="BF"/>
          <w:sz w:val="14"/>
          <w:szCs w:val="14"/>
          <w:u w:val="none"/>
        </w:rPr>
        <w:t>ww</w:t>
      </w:r>
      <w:r w:rsidR="0006233D" w:rsidRPr="0006233D">
        <w:rPr>
          <w:rStyle w:val="Hyperlink"/>
          <w:rFonts w:ascii="Century Gothic" w:hAnsi="Century Gothic"/>
          <w:color w:val="C45911" w:themeColor="accent2" w:themeShade="BF"/>
          <w:sz w:val="14"/>
          <w:szCs w:val="14"/>
          <w:u w:val="none"/>
        </w:rPr>
        <w:t>w</w:t>
      </w:r>
      <w:r w:rsidRPr="0006233D">
        <w:rPr>
          <w:rStyle w:val="Hyperlink"/>
          <w:rFonts w:ascii="Century Gothic" w:hAnsi="Century Gothic"/>
          <w:color w:val="C45911" w:themeColor="accent2" w:themeShade="BF"/>
          <w:sz w:val="14"/>
          <w:szCs w:val="14"/>
          <w:u w:val="none"/>
        </w:rPr>
        <w:t>.urbantaskforce.com.au</w:t>
      </w:r>
    </w:hyperlink>
    <w:r w:rsidRPr="0006233D">
      <w:rPr>
        <w:color w:val="C45911" w:themeColor="accent2" w:themeShade="BF"/>
      </w:rPr>
      <w:tab/>
    </w:r>
    <w:r>
      <w:tab/>
    </w:r>
    <w:r>
      <w:tab/>
    </w:r>
    <w:r w:rsidR="00A41EB3">
      <w:t xml:space="preserve">  </w:t>
    </w:r>
    <w:r w:rsidR="00A841AF">
      <w:tab/>
    </w:r>
    <w:r w:rsidR="00A841AF">
      <w:tab/>
    </w:r>
    <w:r w:rsidR="00A841AF">
      <w:tab/>
    </w:r>
    <w:r w:rsidR="00A841AF">
      <w:tab/>
    </w:r>
    <w:r w:rsidR="00A41EB3">
      <w:t xml:space="preserve">Page </w:t>
    </w:r>
    <w:r w:rsidR="00A41EB3">
      <w:rPr>
        <w:b/>
        <w:bCs/>
        <w:sz w:val="24"/>
        <w:szCs w:val="24"/>
      </w:rPr>
      <w:fldChar w:fldCharType="begin"/>
    </w:r>
    <w:r w:rsidR="00A41EB3">
      <w:rPr>
        <w:b/>
        <w:bCs/>
      </w:rPr>
      <w:instrText xml:space="preserve"> PAGE </w:instrText>
    </w:r>
    <w:r w:rsidR="00A41EB3">
      <w:rPr>
        <w:b/>
        <w:bCs/>
        <w:sz w:val="24"/>
        <w:szCs w:val="24"/>
      </w:rPr>
      <w:fldChar w:fldCharType="separate"/>
    </w:r>
    <w:r w:rsidR="00A41EB3">
      <w:rPr>
        <w:b/>
        <w:bCs/>
        <w:sz w:val="24"/>
        <w:szCs w:val="24"/>
      </w:rPr>
      <w:t>1</w:t>
    </w:r>
    <w:r w:rsidR="00A41EB3">
      <w:rPr>
        <w:b/>
        <w:bCs/>
        <w:sz w:val="24"/>
        <w:szCs w:val="24"/>
      </w:rPr>
      <w:fldChar w:fldCharType="end"/>
    </w:r>
    <w:r w:rsidR="00A41EB3">
      <w:t xml:space="preserve"> of </w:t>
    </w:r>
    <w:r w:rsidR="00A41EB3">
      <w:rPr>
        <w:b/>
        <w:bCs/>
        <w:sz w:val="24"/>
        <w:szCs w:val="24"/>
      </w:rPr>
      <w:fldChar w:fldCharType="begin"/>
    </w:r>
    <w:r w:rsidR="00A41EB3">
      <w:rPr>
        <w:b/>
        <w:bCs/>
      </w:rPr>
      <w:instrText xml:space="preserve"> NUMPAGES  </w:instrText>
    </w:r>
    <w:r w:rsidR="00A41EB3">
      <w:rPr>
        <w:b/>
        <w:bCs/>
        <w:sz w:val="24"/>
        <w:szCs w:val="24"/>
      </w:rPr>
      <w:fldChar w:fldCharType="separate"/>
    </w:r>
    <w:r w:rsidR="00A41EB3">
      <w:rPr>
        <w:b/>
        <w:bCs/>
        <w:sz w:val="24"/>
        <w:szCs w:val="24"/>
      </w:rPr>
      <w:t>2</w:t>
    </w:r>
    <w:r w:rsidR="00A41EB3">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9104B" w14:textId="77777777" w:rsidR="00CD51AD" w:rsidRDefault="00CD51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p w14:paraId="1F12D2B5" w14:textId="77777777" w:rsidR="00CD51AD" w:rsidRDefault="00CD51AD">
    <w:pPr>
      <w:tabs>
        <w:tab w:val="left" w:pos="4536"/>
        <w:tab w:val="left" w:pos="8364"/>
      </w:tabs>
      <w:ind w:right="-17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BDC33" w14:textId="77777777" w:rsidR="00CB4019" w:rsidRDefault="00CB4019">
      <w:pPr>
        <w:spacing w:after="0" w:line="240" w:lineRule="auto"/>
      </w:pPr>
      <w:r>
        <w:separator/>
      </w:r>
    </w:p>
  </w:footnote>
  <w:footnote w:type="continuationSeparator" w:id="0">
    <w:p w14:paraId="56137EA0" w14:textId="77777777" w:rsidR="00CB4019" w:rsidRDefault="00CB4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BD29" w14:textId="77777777" w:rsidR="00CD51AD" w:rsidRDefault="00CD51AD">
    <w:pPr>
      <w:pStyle w:val="Header"/>
    </w:pPr>
    <w:r>
      <w:rPr>
        <w:noProof/>
        <w:lang w:eastAsia="en-AU"/>
      </w:rPr>
      <w:drawing>
        <wp:anchor distT="0" distB="0" distL="114300" distR="114300" simplePos="0" relativeHeight="251660288" behindDoc="1" locked="0" layoutInCell="1" allowOverlap="1" wp14:anchorId="3685127B" wp14:editId="2A22C9AF">
          <wp:simplePos x="0" y="0"/>
          <wp:positionH relativeFrom="page">
            <wp:align>left</wp:align>
          </wp:positionH>
          <wp:positionV relativeFrom="paragraph">
            <wp:posOffset>-1772285</wp:posOffset>
          </wp:positionV>
          <wp:extent cx="7561711" cy="1872145"/>
          <wp:effectExtent l="0" t="0" r="1270" b="0"/>
          <wp:wrapNone/>
          <wp:docPr id="1529832721" name="Picture 1529832721" descr="logo_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711" cy="187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FFF9D" w14:textId="77777777" w:rsidR="00CD51AD" w:rsidRDefault="00CD51AD" w:rsidP="007B2208">
    <w:pPr>
      <w:jc w:val="center"/>
      <w:rPr>
        <w:sz w:val="18"/>
      </w:rPr>
    </w:pPr>
    <w:r>
      <w:rPr>
        <w:b/>
        <w:sz w:val="1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44FFB"/>
    <w:multiLevelType w:val="hybridMultilevel"/>
    <w:tmpl w:val="6576BE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847FF9"/>
    <w:multiLevelType w:val="hybridMultilevel"/>
    <w:tmpl w:val="5576071E"/>
    <w:lvl w:ilvl="0" w:tplc="F83CAF52">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222634E1"/>
    <w:multiLevelType w:val="hybridMultilevel"/>
    <w:tmpl w:val="9A8A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A6B05"/>
    <w:multiLevelType w:val="hybridMultilevel"/>
    <w:tmpl w:val="C6949E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69960F3"/>
    <w:multiLevelType w:val="hybridMultilevel"/>
    <w:tmpl w:val="0C68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025999"/>
    <w:multiLevelType w:val="hybridMultilevel"/>
    <w:tmpl w:val="1E8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5479625">
    <w:abstractNumId w:val="4"/>
  </w:num>
  <w:num w:numId="2" w16cid:durableId="1783647184">
    <w:abstractNumId w:val="2"/>
  </w:num>
  <w:num w:numId="3" w16cid:durableId="1153181547">
    <w:abstractNumId w:val="5"/>
  </w:num>
  <w:num w:numId="4" w16cid:durableId="156922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584944">
    <w:abstractNumId w:val="1"/>
  </w:num>
  <w:num w:numId="6" w16cid:durableId="206793699">
    <w:abstractNumId w:val="3"/>
  </w:num>
  <w:num w:numId="7" w16cid:durableId="14584467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8C"/>
    <w:rsid w:val="00025DBA"/>
    <w:rsid w:val="0006233D"/>
    <w:rsid w:val="000648A3"/>
    <w:rsid w:val="00072E62"/>
    <w:rsid w:val="00081573"/>
    <w:rsid w:val="00082BA6"/>
    <w:rsid w:val="001279FB"/>
    <w:rsid w:val="001360B8"/>
    <w:rsid w:val="00170615"/>
    <w:rsid w:val="00175DD0"/>
    <w:rsid w:val="001A469D"/>
    <w:rsid w:val="001E777C"/>
    <w:rsid w:val="00261A22"/>
    <w:rsid w:val="002C4FB5"/>
    <w:rsid w:val="002E2263"/>
    <w:rsid w:val="003128DF"/>
    <w:rsid w:val="00312AFF"/>
    <w:rsid w:val="00313727"/>
    <w:rsid w:val="003216A8"/>
    <w:rsid w:val="00325A2A"/>
    <w:rsid w:val="003657BE"/>
    <w:rsid w:val="003D00AB"/>
    <w:rsid w:val="003D62A1"/>
    <w:rsid w:val="00467CDD"/>
    <w:rsid w:val="00471196"/>
    <w:rsid w:val="004943E7"/>
    <w:rsid w:val="004A4CDF"/>
    <w:rsid w:val="005637F6"/>
    <w:rsid w:val="00564304"/>
    <w:rsid w:val="005A011B"/>
    <w:rsid w:val="005A3E5D"/>
    <w:rsid w:val="00694CC2"/>
    <w:rsid w:val="006F148C"/>
    <w:rsid w:val="00733367"/>
    <w:rsid w:val="007434BF"/>
    <w:rsid w:val="00745740"/>
    <w:rsid w:val="007547CC"/>
    <w:rsid w:val="0079123D"/>
    <w:rsid w:val="00791572"/>
    <w:rsid w:val="007A42BA"/>
    <w:rsid w:val="00861469"/>
    <w:rsid w:val="008E46AB"/>
    <w:rsid w:val="009237C7"/>
    <w:rsid w:val="00961F8D"/>
    <w:rsid w:val="0097650C"/>
    <w:rsid w:val="009F5A6D"/>
    <w:rsid w:val="00A41EB3"/>
    <w:rsid w:val="00A54615"/>
    <w:rsid w:val="00A841AF"/>
    <w:rsid w:val="00AA33E8"/>
    <w:rsid w:val="00AB731A"/>
    <w:rsid w:val="00AC5450"/>
    <w:rsid w:val="00B51F12"/>
    <w:rsid w:val="00B67840"/>
    <w:rsid w:val="00B70B1C"/>
    <w:rsid w:val="00BA0B0C"/>
    <w:rsid w:val="00BB1543"/>
    <w:rsid w:val="00BC05B0"/>
    <w:rsid w:val="00BE0C8F"/>
    <w:rsid w:val="00BE1795"/>
    <w:rsid w:val="00BE35B0"/>
    <w:rsid w:val="00BE3E62"/>
    <w:rsid w:val="00BF19CF"/>
    <w:rsid w:val="00C042F1"/>
    <w:rsid w:val="00C15DB1"/>
    <w:rsid w:val="00C37ACE"/>
    <w:rsid w:val="00C7691D"/>
    <w:rsid w:val="00C8291F"/>
    <w:rsid w:val="00CA3462"/>
    <w:rsid w:val="00CB4019"/>
    <w:rsid w:val="00CD51AD"/>
    <w:rsid w:val="00D21240"/>
    <w:rsid w:val="00D8024A"/>
    <w:rsid w:val="00D96F61"/>
    <w:rsid w:val="00E738B3"/>
    <w:rsid w:val="00E81456"/>
    <w:rsid w:val="00E85DEB"/>
    <w:rsid w:val="00E926DF"/>
    <w:rsid w:val="00EC45EB"/>
    <w:rsid w:val="00F60D50"/>
    <w:rsid w:val="00F72CA8"/>
    <w:rsid w:val="00F73884"/>
    <w:rsid w:val="00F759FF"/>
    <w:rsid w:val="00FA2FA5"/>
    <w:rsid w:val="00FB6EB8"/>
    <w:rsid w:val="00FB72D8"/>
    <w:rsid w:val="00FB7D62"/>
    <w:rsid w:val="00FC0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ECE8F8"/>
  <w15:chartTrackingRefBased/>
  <w15:docId w15:val="{BCD8CC46-D020-47EB-9D4A-1713E8C4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48C"/>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6F148C"/>
    <w:rPr>
      <w:kern w:val="0"/>
      <w14:ligatures w14:val="none"/>
    </w:rPr>
  </w:style>
  <w:style w:type="paragraph" w:styleId="Footer">
    <w:name w:val="footer"/>
    <w:basedOn w:val="Normal"/>
    <w:link w:val="FooterChar"/>
    <w:uiPriority w:val="99"/>
    <w:unhideWhenUsed/>
    <w:rsid w:val="006F148C"/>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6F148C"/>
    <w:rPr>
      <w:kern w:val="0"/>
      <w14:ligatures w14:val="none"/>
    </w:rPr>
  </w:style>
  <w:style w:type="paragraph" w:styleId="ListParagraph">
    <w:name w:val="List Paragraph"/>
    <w:basedOn w:val="Normal"/>
    <w:uiPriority w:val="34"/>
    <w:qFormat/>
    <w:rsid w:val="006F148C"/>
    <w:pPr>
      <w:ind w:left="720"/>
      <w:contextualSpacing/>
    </w:pPr>
  </w:style>
  <w:style w:type="paragraph" w:styleId="NormalWeb">
    <w:name w:val="Normal (Web)"/>
    <w:basedOn w:val="Normal"/>
    <w:uiPriority w:val="99"/>
    <w:semiHidden/>
    <w:unhideWhenUsed/>
    <w:rsid w:val="003D00AB"/>
    <w:pPr>
      <w:spacing w:before="100" w:beforeAutospacing="1" w:after="100" w:afterAutospacing="1" w:line="240" w:lineRule="auto"/>
    </w:pPr>
    <w:rPr>
      <w:rFonts w:ascii="Calibri" w:hAnsi="Calibri" w:cs="Calibri"/>
      <w:kern w:val="0"/>
      <w:lang w:eastAsia="en-AU"/>
      <w14:ligatures w14:val="none"/>
    </w:rPr>
  </w:style>
  <w:style w:type="character" w:styleId="Strong">
    <w:name w:val="Strong"/>
    <w:basedOn w:val="DefaultParagraphFont"/>
    <w:uiPriority w:val="22"/>
    <w:qFormat/>
    <w:rsid w:val="003D00AB"/>
    <w:rPr>
      <w:b/>
      <w:bCs/>
    </w:rPr>
  </w:style>
  <w:style w:type="table" w:styleId="TableGrid">
    <w:name w:val="Table Grid"/>
    <w:basedOn w:val="TableNormal"/>
    <w:uiPriority w:val="39"/>
    <w:rsid w:val="00733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0D50"/>
    <w:rPr>
      <w:color w:val="0563C1" w:themeColor="hyperlink"/>
      <w:u w:val="single"/>
    </w:rPr>
  </w:style>
  <w:style w:type="character" w:styleId="UnresolvedMention">
    <w:name w:val="Unresolved Mention"/>
    <w:basedOn w:val="DefaultParagraphFont"/>
    <w:uiPriority w:val="99"/>
    <w:semiHidden/>
    <w:unhideWhenUsed/>
    <w:rsid w:val="00F60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173707">
      <w:bodyDiv w:val="1"/>
      <w:marLeft w:val="0"/>
      <w:marRight w:val="0"/>
      <w:marTop w:val="0"/>
      <w:marBottom w:val="0"/>
      <w:divBdr>
        <w:top w:val="none" w:sz="0" w:space="0" w:color="auto"/>
        <w:left w:val="none" w:sz="0" w:space="0" w:color="auto"/>
        <w:bottom w:val="none" w:sz="0" w:space="0" w:color="auto"/>
        <w:right w:val="none" w:sz="0" w:space="0" w:color="auto"/>
      </w:divBdr>
    </w:div>
    <w:div w:id="315037426">
      <w:bodyDiv w:val="1"/>
      <w:marLeft w:val="0"/>
      <w:marRight w:val="0"/>
      <w:marTop w:val="0"/>
      <w:marBottom w:val="0"/>
      <w:divBdr>
        <w:top w:val="none" w:sz="0" w:space="0" w:color="auto"/>
        <w:left w:val="none" w:sz="0" w:space="0" w:color="auto"/>
        <w:bottom w:val="none" w:sz="0" w:space="0" w:color="auto"/>
        <w:right w:val="none" w:sz="0" w:space="0" w:color="auto"/>
      </w:divBdr>
    </w:div>
    <w:div w:id="481652624">
      <w:bodyDiv w:val="1"/>
      <w:marLeft w:val="0"/>
      <w:marRight w:val="0"/>
      <w:marTop w:val="0"/>
      <w:marBottom w:val="0"/>
      <w:divBdr>
        <w:top w:val="none" w:sz="0" w:space="0" w:color="auto"/>
        <w:left w:val="none" w:sz="0" w:space="0" w:color="auto"/>
        <w:bottom w:val="none" w:sz="0" w:space="0" w:color="auto"/>
        <w:right w:val="none" w:sz="0" w:space="0" w:color="auto"/>
      </w:divBdr>
    </w:div>
    <w:div w:id="874464566">
      <w:bodyDiv w:val="1"/>
      <w:marLeft w:val="0"/>
      <w:marRight w:val="0"/>
      <w:marTop w:val="0"/>
      <w:marBottom w:val="0"/>
      <w:divBdr>
        <w:top w:val="none" w:sz="0" w:space="0" w:color="auto"/>
        <w:left w:val="none" w:sz="0" w:space="0" w:color="auto"/>
        <w:bottom w:val="none" w:sz="0" w:space="0" w:color="auto"/>
        <w:right w:val="none" w:sz="0" w:space="0" w:color="auto"/>
      </w:divBdr>
    </w:div>
    <w:div w:id="995836878">
      <w:bodyDiv w:val="1"/>
      <w:marLeft w:val="0"/>
      <w:marRight w:val="0"/>
      <w:marTop w:val="0"/>
      <w:marBottom w:val="0"/>
      <w:divBdr>
        <w:top w:val="none" w:sz="0" w:space="0" w:color="auto"/>
        <w:left w:val="none" w:sz="0" w:space="0" w:color="auto"/>
        <w:bottom w:val="none" w:sz="0" w:space="0" w:color="auto"/>
        <w:right w:val="none" w:sz="0" w:space="0" w:color="auto"/>
      </w:divBdr>
    </w:div>
    <w:div w:id="1125465303">
      <w:bodyDiv w:val="1"/>
      <w:marLeft w:val="0"/>
      <w:marRight w:val="0"/>
      <w:marTop w:val="0"/>
      <w:marBottom w:val="0"/>
      <w:divBdr>
        <w:top w:val="none" w:sz="0" w:space="0" w:color="auto"/>
        <w:left w:val="none" w:sz="0" w:space="0" w:color="auto"/>
        <w:bottom w:val="none" w:sz="0" w:space="0" w:color="auto"/>
        <w:right w:val="none" w:sz="0" w:space="0" w:color="auto"/>
      </w:divBdr>
    </w:div>
    <w:div w:id="1497304211">
      <w:bodyDiv w:val="1"/>
      <w:marLeft w:val="0"/>
      <w:marRight w:val="0"/>
      <w:marTop w:val="0"/>
      <w:marBottom w:val="0"/>
      <w:divBdr>
        <w:top w:val="none" w:sz="0" w:space="0" w:color="auto"/>
        <w:left w:val="none" w:sz="0" w:space="0" w:color="auto"/>
        <w:bottom w:val="none" w:sz="0" w:space="0" w:color="auto"/>
        <w:right w:val="none" w:sz="0" w:space="0" w:color="auto"/>
      </w:divBdr>
    </w:div>
    <w:div w:id="1724476903">
      <w:bodyDiv w:val="1"/>
      <w:marLeft w:val="0"/>
      <w:marRight w:val="0"/>
      <w:marTop w:val="0"/>
      <w:marBottom w:val="0"/>
      <w:divBdr>
        <w:top w:val="none" w:sz="0" w:space="0" w:color="auto"/>
        <w:left w:val="none" w:sz="0" w:space="0" w:color="auto"/>
        <w:bottom w:val="none" w:sz="0" w:space="0" w:color="auto"/>
        <w:right w:val="none" w:sz="0" w:space="0" w:color="auto"/>
      </w:divBdr>
    </w:div>
    <w:div w:id="1731297248">
      <w:bodyDiv w:val="1"/>
      <w:marLeft w:val="0"/>
      <w:marRight w:val="0"/>
      <w:marTop w:val="0"/>
      <w:marBottom w:val="0"/>
      <w:divBdr>
        <w:top w:val="none" w:sz="0" w:space="0" w:color="auto"/>
        <w:left w:val="none" w:sz="0" w:space="0" w:color="auto"/>
        <w:bottom w:val="none" w:sz="0" w:space="0" w:color="auto"/>
        <w:right w:val="none" w:sz="0" w:space="0" w:color="auto"/>
      </w:divBdr>
    </w:div>
    <w:div w:id="1733389695">
      <w:bodyDiv w:val="1"/>
      <w:marLeft w:val="0"/>
      <w:marRight w:val="0"/>
      <w:marTop w:val="0"/>
      <w:marBottom w:val="0"/>
      <w:divBdr>
        <w:top w:val="none" w:sz="0" w:space="0" w:color="auto"/>
        <w:left w:val="none" w:sz="0" w:space="0" w:color="auto"/>
        <w:bottom w:val="none" w:sz="0" w:space="0" w:color="auto"/>
        <w:right w:val="none" w:sz="0" w:space="0" w:color="auto"/>
      </w:divBdr>
    </w:div>
    <w:div w:id="177336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urbantaskforce.com.au/" TargetMode="External"/><Relationship Id="rId2" Type="http://schemas.openxmlformats.org/officeDocument/2006/relationships/image" Target="media/image1.jpeg"/><Relationship Id="rId1" Type="http://schemas.openxmlformats.org/officeDocument/2006/relationships/hyperlink" Target="https://www.linkedin.com/in/urbantaskforceaustralia/" TargetMode="External"/><Relationship Id="rId6" Type="http://schemas.openxmlformats.org/officeDocument/2006/relationships/image" Target="media/image3.jpeg"/><Relationship Id="rId5" Type="http://schemas.openxmlformats.org/officeDocument/2006/relationships/hyperlink" Target="https://www.facebook.com/UTFaus" TargetMode="External"/><Relationship Id="rId4"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file:///C:\Users\tom\AppData\Local\Microsoft\Windows\INetCache\Content.Outlook\CR5AYO09\www.urbantaskforce.com.au" TargetMode="External"/><Relationship Id="rId2" Type="http://schemas.openxmlformats.org/officeDocument/2006/relationships/hyperlink" Target="mailto:admin@urbantaskforce.com.au"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FEC03-BDDA-4E65-AC3B-7D3EF059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Fenn</dc:creator>
  <cp:keywords/>
  <dc:description/>
  <cp:lastModifiedBy>Stephen Fenn</cp:lastModifiedBy>
  <cp:revision>3</cp:revision>
  <cp:lastPrinted>2024-09-20T01:34:00Z</cp:lastPrinted>
  <dcterms:created xsi:type="dcterms:W3CDTF">2024-09-20T01:34:00Z</dcterms:created>
  <dcterms:modified xsi:type="dcterms:W3CDTF">2024-09-20T04:09:00Z</dcterms:modified>
</cp:coreProperties>
</file>